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51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 xml:space="preserve">SPECYFIKACJA TECHNICZNA WYKONANIA I ODBIORU ROBÓT – SYSTEMOWA PODŁOGA SPORTOWA </w:t>
      </w:r>
    </w:p>
    <w:p w:rsidR="00230951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Narrow" w:hAnsi="ArialNarrow" w:cs="ArialNarrow"/>
          <w:color w:val="000000"/>
          <w:sz w:val="18"/>
          <w:szCs w:val="18"/>
        </w:rPr>
      </w:pPr>
    </w:p>
    <w:p w:rsidR="00B439B4" w:rsidRDefault="00B439B4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34"/>
          <w:szCs w:val="28"/>
        </w:rPr>
      </w:pPr>
    </w:p>
    <w:p w:rsidR="00B439B4" w:rsidRDefault="00B439B4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34"/>
          <w:szCs w:val="28"/>
        </w:rPr>
      </w:pPr>
    </w:p>
    <w:p w:rsidR="00B439B4" w:rsidRDefault="00B439B4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34"/>
          <w:szCs w:val="28"/>
        </w:rPr>
      </w:pPr>
    </w:p>
    <w:p w:rsidR="00230951" w:rsidRPr="00B439B4" w:rsidRDefault="00230951" w:rsidP="006B31E0">
      <w:pPr>
        <w:autoSpaceDE w:val="0"/>
        <w:autoSpaceDN w:val="0"/>
        <w:adjustRightInd w:val="0"/>
        <w:spacing w:after="0" w:line="360" w:lineRule="auto"/>
        <w:jc w:val="center"/>
        <w:rPr>
          <w:rFonts w:ascii="ArialMT" w:hAnsi="ArialMT" w:cs="ArialMT"/>
          <w:b/>
          <w:color w:val="000000"/>
          <w:sz w:val="38"/>
          <w:szCs w:val="28"/>
        </w:rPr>
      </w:pPr>
      <w:r w:rsidRPr="00B439B4">
        <w:rPr>
          <w:rFonts w:ascii="ArialMT" w:hAnsi="ArialMT" w:cs="ArialMT"/>
          <w:b/>
          <w:color w:val="000000"/>
          <w:sz w:val="38"/>
          <w:szCs w:val="28"/>
        </w:rPr>
        <w:t>SPECYFIKACJA TECHNICZNA</w:t>
      </w:r>
    </w:p>
    <w:p w:rsidR="00230951" w:rsidRPr="00B439B4" w:rsidRDefault="00230951" w:rsidP="006B31E0">
      <w:pPr>
        <w:autoSpaceDE w:val="0"/>
        <w:autoSpaceDN w:val="0"/>
        <w:adjustRightInd w:val="0"/>
        <w:spacing w:after="0" w:line="360" w:lineRule="auto"/>
        <w:jc w:val="center"/>
        <w:rPr>
          <w:rFonts w:ascii="ArialMT" w:hAnsi="ArialMT" w:cs="ArialMT"/>
          <w:b/>
          <w:color w:val="000000"/>
          <w:sz w:val="38"/>
          <w:szCs w:val="28"/>
        </w:rPr>
      </w:pPr>
      <w:r w:rsidRPr="00B439B4">
        <w:rPr>
          <w:rFonts w:ascii="ArialMT" w:hAnsi="ArialMT" w:cs="ArialMT"/>
          <w:b/>
          <w:color w:val="000000"/>
          <w:sz w:val="38"/>
          <w:szCs w:val="28"/>
        </w:rPr>
        <w:t>WYKONANIA I ODBIORU ROBÓT</w:t>
      </w:r>
    </w:p>
    <w:p w:rsidR="00B439B4" w:rsidRDefault="00B439B4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:rsidR="00B439B4" w:rsidRDefault="00B439B4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:rsidR="00B439B4" w:rsidRDefault="00B439B4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:rsidR="00230951" w:rsidRPr="00B439B4" w:rsidRDefault="00230951" w:rsidP="006B31E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18"/>
          <w:szCs w:val="24"/>
        </w:rPr>
      </w:pPr>
      <w:r w:rsidRPr="00B439B4">
        <w:rPr>
          <w:rFonts w:ascii="ArialMT" w:hAnsi="ArialMT" w:cs="ArialMT"/>
          <w:color w:val="000000"/>
          <w:sz w:val="18"/>
          <w:szCs w:val="24"/>
        </w:rPr>
        <w:t>Oznaczenie kodu według Wspólnego Słownika Zamówień (CPV)</w:t>
      </w:r>
      <w:r w:rsidR="00B439B4" w:rsidRPr="00B439B4">
        <w:rPr>
          <w:rFonts w:ascii="ArialMT" w:hAnsi="ArialMT" w:cs="ArialMT"/>
          <w:color w:val="000000"/>
          <w:sz w:val="18"/>
          <w:szCs w:val="24"/>
        </w:rPr>
        <w:t xml:space="preserve"> :</w:t>
      </w:r>
    </w:p>
    <w:p w:rsidR="00B439B4" w:rsidRPr="00B439B4" w:rsidRDefault="00B439B4" w:rsidP="006B31E0">
      <w:pPr>
        <w:spacing w:after="0" w:line="240" w:lineRule="auto"/>
        <w:jc w:val="both"/>
        <w:rPr>
          <w:rFonts w:ascii="Arial" w:hAnsi="Arial"/>
          <w:sz w:val="16"/>
          <w:lang/>
        </w:rPr>
      </w:pPr>
      <w:r w:rsidRPr="00B439B4">
        <w:rPr>
          <w:rFonts w:ascii="Arial" w:hAnsi="Arial"/>
          <w:sz w:val="16"/>
          <w:lang/>
        </w:rPr>
        <w:t>45000000-7 Roboty budowlane</w:t>
      </w:r>
    </w:p>
    <w:p w:rsidR="00B439B4" w:rsidRPr="00B439B4" w:rsidRDefault="00B439B4" w:rsidP="006B31E0">
      <w:pPr>
        <w:spacing w:after="0" w:line="240" w:lineRule="auto"/>
        <w:jc w:val="both"/>
        <w:rPr>
          <w:rFonts w:ascii="Arial" w:hAnsi="Arial"/>
          <w:sz w:val="16"/>
          <w:lang/>
        </w:rPr>
      </w:pPr>
      <w:r w:rsidRPr="00B439B4">
        <w:rPr>
          <w:rFonts w:ascii="Arial" w:hAnsi="Arial"/>
          <w:sz w:val="16"/>
          <w:lang/>
        </w:rPr>
        <w:t>45212222-8 Roboty budowlane związane z salami gimnastycznymi.</w:t>
      </w:r>
    </w:p>
    <w:p w:rsidR="00B439B4" w:rsidRDefault="00B439B4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B439B4" w:rsidRDefault="00B439B4" w:rsidP="006B31E0">
      <w:pPr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B439B4" w:rsidRDefault="00B439B4" w:rsidP="006B31E0">
      <w:pPr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B439B4" w:rsidRDefault="00B439B4" w:rsidP="006B31E0">
      <w:pPr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:rsidR="00B439B4" w:rsidRPr="00B439B4" w:rsidRDefault="00B439B4" w:rsidP="006B31E0">
      <w:pPr>
        <w:spacing w:after="0" w:line="240" w:lineRule="auto"/>
        <w:jc w:val="both"/>
        <w:rPr>
          <w:b/>
          <w:color w:val="000000" w:themeColor="text1"/>
          <w:sz w:val="24"/>
        </w:rPr>
      </w:pPr>
      <w:r w:rsidRPr="00B439B4">
        <w:rPr>
          <w:b/>
          <w:color w:val="000000" w:themeColor="text1"/>
          <w:sz w:val="24"/>
        </w:rPr>
        <w:t>Nazwa zadania :</w:t>
      </w:r>
    </w:p>
    <w:p w:rsidR="00B439B4" w:rsidRPr="00B439B4" w:rsidRDefault="00B439B4" w:rsidP="006B31E0">
      <w:pPr>
        <w:spacing w:after="0"/>
        <w:jc w:val="both"/>
        <w:rPr>
          <w:sz w:val="24"/>
        </w:rPr>
      </w:pPr>
      <w:r w:rsidRPr="00B439B4">
        <w:rPr>
          <w:sz w:val="24"/>
        </w:rPr>
        <w:t>Wymiana podłogi sportowej na hali przy Szk</w:t>
      </w:r>
      <w:r>
        <w:rPr>
          <w:sz w:val="24"/>
        </w:rPr>
        <w:t>ole Podstawowej nr 2 w Opatowie</w:t>
      </w:r>
    </w:p>
    <w:p w:rsidR="00B439B4" w:rsidRPr="00B439B4" w:rsidRDefault="00B439B4" w:rsidP="006B31E0">
      <w:pPr>
        <w:spacing w:after="0"/>
        <w:jc w:val="both"/>
        <w:rPr>
          <w:sz w:val="24"/>
        </w:rPr>
      </w:pPr>
    </w:p>
    <w:p w:rsidR="00B439B4" w:rsidRPr="00B439B4" w:rsidRDefault="00B439B4" w:rsidP="006B31E0">
      <w:pPr>
        <w:spacing w:after="0" w:line="240" w:lineRule="auto"/>
        <w:jc w:val="both"/>
        <w:rPr>
          <w:b/>
          <w:sz w:val="24"/>
        </w:rPr>
      </w:pPr>
      <w:r w:rsidRPr="00B439B4">
        <w:rPr>
          <w:b/>
          <w:sz w:val="24"/>
        </w:rPr>
        <w:t>Lokalizacja :</w:t>
      </w:r>
    </w:p>
    <w:p w:rsidR="00B439B4" w:rsidRPr="00B439B4" w:rsidRDefault="00B439B4" w:rsidP="006B31E0">
      <w:pPr>
        <w:spacing w:after="0"/>
        <w:jc w:val="both"/>
        <w:rPr>
          <w:sz w:val="24"/>
        </w:rPr>
      </w:pPr>
      <w:r w:rsidRPr="00B439B4">
        <w:rPr>
          <w:sz w:val="24"/>
        </w:rPr>
        <w:t>ul. Kopernika 30, 27-500 Opatów</w:t>
      </w:r>
    </w:p>
    <w:p w:rsidR="00B439B4" w:rsidRDefault="00B439B4" w:rsidP="006B31E0">
      <w:pPr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br w:type="page"/>
      </w:r>
    </w:p>
    <w:p w:rsidR="00230951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lastRenderedPageBreak/>
        <w:t>1. WSTĘP</w:t>
      </w:r>
    </w:p>
    <w:p w:rsidR="00230951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1.1. Przedmiot ST</w:t>
      </w:r>
    </w:p>
    <w:p w:rsidR="00230951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Przedmiotem niniejszej specyfikacji technicznej (ST) są wymagania dotyczące wykonania i odbioru</w:t>
      </w:r>
    </w:p>
    <w:p w:rsidR="00230951" w:rsidRPr="002F0B9F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FF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podłogi sportowej Hali sportowej w </w:t>
      </w:r>
      <w:r w:rsidR="002F0B9F">
        <w:rPr>
          <w:rFonts w:ascii="ArialMT" w:hAnsi="ArialMT" w:cs="ArialMT"/>
          <w:color w:val="000000"/>
          <w:sz w:val="20"/>
          <w:szCs w:val="20"/>
        </w:rPr>
        <w:t xml:space="preserve">Szkole Podstawowej nr 2 </w:t>
      </w:r>
      <w:r w:rsidR="002F0B9F" w:rsidRPr="00B439B4">
        <w:rPr>
          <w:rFonts w:ascii="ArialMT" w:hAnsi="ArialMT" w:cs="ArialMT"/>
          <w:color w:val="000000" w:themeColor="text1"/>
          <w:sz w:val="20"/>
          <w:szCs w:val="20"/>
        </w:rPr>
        <w:t>w Opatowie</w:t>
      </w:r>
      <w:r w:rsidRPr="00B439B4">
        <w:rPr>
          <w:rFonts w:ascii="ArialMT" w:hAnsi="ArialMT" w:cs="ArialMT"/>
          <w:color w:val="000000" w:themeColor="text1"/>
          <w:sz w:val="20"/>
          <w:szCs w:val="20"/>
        </w:rPr>
        <w:t>.</w:t>
      </w:r>
    </w:p>
    <w:p w:rsidR="00230951" w:rsidRPr="002F0B9F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  <w:r w:rsidRPr="002F0B9F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1.2. Zakres stosowania ST</w:t>
      </w:r>
    </w:p>
    <w:p w:rsidR="00230951" w:rsidRPr="002F0B9F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2F0B9F">
        <w:rPr>
          <w:rFonts w:ascii="ArialMT" w:hAnsi="ArialMT" w:cs="ArialMT"/>
          <w:color w:val="000000" w:themeColor="text1"/>
          <w:sz w:val="20"/>
          <w:szCs w:val="20"/>
        </w:rPr>
        <w:t>Specyfikacja techniczna (ST) stanowi obowiązującą podstawę jako dokument przetargowy i</w:t>
      </w:r>
    </w:p>
    <w:p w:rsidR="00230951" w:rsidRPr="002F0B9F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2F0B9F">
        <w:rPr>
          <w:rFonts w:ascii="ArialMT" w:hAnsi="ArialMT" w:cs="ArialMT"/>
          <w:color w:val="000000" w:themeColor="text1"/>
          <w:sz w:val="20"/>
          <w:szCs w:val="20"/>
        </w:rPr>
        <w:t>umowny przy zlecaniu i realizacji robót określonych w pkt.1.1.</w:t>
      </w:r>
    </w:p>
    <w:p w:rsidR="00230951" w:rsidRPr="002F0B9F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  <w:r w:rsidRPr="002F0B9F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1.3. Zakres robót objętych ST</w:t>
      </w:r>
    </w:p>
    <w:p w:rsidR="00230951" w:rsidRPr="002F0B9F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2F0B9F">
        <w:rPr>
          <w:rFonts w:ascii="ArialMT" w:hAnsi="ArialMT" w:cs="ArialMT"/>
          <w:color w:val="000000" w:themeColor="text1"/>
          <w:sz w:val="20"/>
          <w:szCs w:val="20"/>
        </w:rPr>
        <w:t>Ustalenia zawarte w niniejszej specyfikacji obejmują podłogę sportową systemową o</w:t>
      </w:r>
    </w:p>
    <w:p w:rsidR="00230951" w:rsidRPr="00851AE1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2F0B9F">
        <w:rPr>
          <w:rFonts w:ascii="ArialMT" w:hAnsi="ArialMT" w:cs="ArialMT"/>
          <w:color w:val="000000" w:themeColor="text1"/>
          <w:sz w:val="20"/>
          <w:szCs w:val="20"/>
        </w:rPr>
        <w:t xml:space="preserve">nawierzchni z </w:t>
      </w:r>
      <w:proofErr w:type="spellStart"/>
      <w:r w:rsidR="002F0B9F" w:rsidRPr="002F0B9F">
        <w:rPr>
          <w:rFonts w:ascii="ArialMT" w:hAnsi="ArialMT" w:cs="ArialMT"/>
          <w:color w:val="000000" w:themeColor="text1"/>
          <w:sz w:val="20"/>
          <w:szCs w:val="20"/>
        </w:rPr>
        <w:t>bezspoinowej</w:t>
      </w:r>
      <w:proofErr w:type="spellEnd"/>
      <w:r w:rsidR="002F0B9F" w:rsidRPr="002F0B9F">
        <w:rPr>
          <w:rFonts w:ascii="ArialMT" w:hAnsi="ArialMT" w:cs="ArialMT"/>
          <w:color w:val="000000" w:themeColor="text1"/>
          <w:sz w:val="20"/>
          <w:szCs w:val="20"/>
        </w:rPr>
        <w:t xml:space="preserve"> – wylewka poliuretanowa gr. 2,0mm</w:t>
      </w:r>
      <w:r w:rsidRPr="002F0B9F">
        <w:rPr>
          <w:rFonts w:ascii="ArialMT" w:hAnsi="ArialMT" w:cs="ArialMT"/>
          <w:color w:val="000000" w:themeColor="text1"/>
          <w:sz w:val="20"/>
          <w:szCs w:val="20"/>
        </w:rPr>
        <w:t>, do wykonania których użyte zostały wyroby</w:t>
      </w:r>
      <w:r w:rsidR="002F0B9F" w:rsidRPr="002F0B9F">
        <w:rPr>
          <w:rFonts w:ascii="ArialMT" w:hAnsi="ArialMT" w:cs="ArialMT"/>
          <w:color w:val="000000" w:themeColor="text1"/>
          <w:sz w:val="20"/>
          <w:szCs w:val="20"/>
        </w:rPr>
        <w:t xml:space="preserve"> </w:t>
      </w:r>
      <w:r w:rsidRPr="002F0B9F">
        <w:rPr>
          <w:rFonts w:ascii="ArialMT" w:hAnsi="ArialMT" w:cs="ArialMT"/>
          <w:color w:val="000000" w:themeColor="text1"/>
          <w:sz w:val="20"/>
          <w:szCs w:val="20"/>
        </w:rPr>
        <w:t>odpowiadające wymaganiom norm lub aprobat technicznych.</w:t>
      </w:r>
    </w:p>
    <w:p w:rsidR="00230951" w:rsidRPr="00851AE1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  <w:r w:rsidRPr="00851AE1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1.4. Określenia podstawowe</w:t>
      </w:r>
    </w:p>
    <w:p w:rsidR="00230951" w:rsidRPr="00851AE1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851AE1">
        <w:rPr>
          <w:rFonts w:ascii="ArialMT" w:hAnsi="ArialMT" w:cs="ArialMT"/>
          <w:color w:val="000000" w:themeColor="text1"/>
          <w:sz w:val="20"/>
          <w:szCs w:val="20"/>
        </w:rPr>
        <w:t>Użyte w niniejszej ST są zgodne ustawą Prawo budowlane, rozporządzeniami wykonawczymi do tej</w:t>
      </w:r>
    </w:p>
    <w:p w:rsidR="00230951" w:rsidRPr="00851AE1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851AE1">
        <w:rPr>
          <w:rFonts w:ascii="ArialMT" w:hAnsi="ArialMT" w:cs="ArialMT"/>
          <w:color w:val="000000" w:themeColor="text1"/>
          <w:sz w:val="20"/>
          <w:szCs w:val="20"/>
        </w:rPr>
        <w:t>ustawy, nomenklaturą Polskich Norm i aprobat technicznych:</w:t>
      </w:r>
    </w:p>
    <w:p w:rsidR="00230951" w:rsidRPr="00851AE1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851AE1">
        <w:rPr>
          <w:rFonts w:ascii="ArialMT" w:hAnsi="ArialMT" w:cs="ArialMT"/>
          <w:color w:val="000000" w:themeColor="text1"/>
          <w:sz w:val="20"/>
          <w:szCs w:val="20"/>
        </w:rPr>
        <w:t>podłoga – wykończenie poziomej przegrody konstrukcji nadające jej wymagane właściwości</w:t>
      </w:r>
      <w:r w:rsidR="00851AE1" w:rsidRPr="00851AE1">
        <w:rPr>
          <w:rFonts w:ascii="ArialMT" w:hAnsi="ArialMT" w:cs="ArialMT"/>
          <w:color w:val="000000" w:themeColor="text1"/>
          <w:sz w:val="20"/>
          <w:szCs w:val="20"/>
        </w:rPr>
        <w:t xml:space="preserve"> </w:t>
      </w:r>
      <w:r w:rsidRPr="00851AE1">
        <w:rPr>
          <w:rFonts w:ascii="ArialMT" w:hAnsi="ArialMT" w:cs="ArialMT"/>
          <w:color w:val="000000" w:themeColor="text1"/>
          <w:sz w:val="20"/>
          <w:szCs w:val="20"/>
        </w:rPr>
        <w:t>użytkowe,</w:t>
      </w:r>
    </w:p>
    <w:p w:rsidR="00230951" w:rsidRPr="00851AE1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851AE1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 xml:space="preserve">warstwa rozdzielcza </w:t>
      </w:r>
      <w:r w:rsidRPr="00851AE1">
        <w:rPr>
          <w:rFonts w:ascii="ArialMT" w:hAnsi="ArialMT" w:cs="ArialMT"/>
          <w:color w:val="000000" w:themeColor="text1"/>
          <w:sz w:val="20"/>
          <w:szCs w:val="20"/>
        </w:rPr>
        <w:t>– warstwa uniemożliwiająca kontakt z podłożem,</w:t>
      </w:r>
    </w:p>
    <w:p w:rsidR="00230951" w:rsidRPr="00851AE1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851AE1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 xml:space="preserve">warstwa wyrównawcza </w:t>
      </w:r>
      <w:r w:rsidRPr="00851AE1">
        <w:rPr>
          <w:rFonts w:ascii="ArialMT" w:hAnsi="ArialMT" w:cs="ArialMT"/>
          <w:color w:val="000000" w:themeColor="text1"/>
          <w:sz w:val="20"/>
          <w:szCs w:val="20"/>
        </w:rPr>
        <w:t>– warstwa wykonana w celu wyeliminowania nierówności lub różnic</w:t>
      </w:r>
    </w:p>
    <w:p w:rsidR="00230951" w:rsidRPr="00851AE1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851AE1">
        <w:rPr>
          <w:rFonts w:ascii="ArialMT" w:hAnsi="ArialMT" w:cs="ArialMT"/>
          <w:color w:val="000000" w:themeColor="text1"/>
          <w:sz w:val="20"/>
          <w:szCs w:val="20"/>
        </w:rPr>
        <w:t>poziomów powierzchni podłoża, albo w celu wbudowania przewodów, rur lub innych elementów</w:t>
      </w:r>
    </w:p>
    <w:p w:rsidR="00230951" w:rsidRPr="00851AE1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851AE1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 xml:space="preserve">podkład podłogowy </w:t>
      </w:r>
      <w:r w:rsidRPr="00851AE1">
        <w:rPr>
          <w:rFonts w:ascii="ArialMT" w:hAnsi="ArialMT" w:cs="ArialMT"/>
          <w:color w:val="000000" w:themeColor="text1"/>
          <w:sz w:val="20"/>
          <w:szCs w:val="20"/>
        </w:rPr>
        <w:t>– warstwa z materiałów podkładowych wykonana na budowie bezpośrednio</w:t>
      </w:r>
    </w:p>
    <w:p w:rsidR="00230951" w:rsidRPr="00851AE1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851AE1">
        <w:rPr>
          <w:rFonts w:ascii="ArialMT" w:hAnsi="ArialMT" w:cs="ArialMT"/>
          <w:color w:val="000000" w:themeColor="text1"/>
          <w:sz w:val="20"/>
          <w:szCs w:val="20"/>
        </w:rPr>
        <w:t>na podłożu lub na warstwach pośrednich lub izolujących w celu: uzyskania odpowiedniego</w:t>
      </w:r>
    </w:p>
    <w:p w:rsidR="00230951" w:rsidRPr="00851AE1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851AE1">
        <w:rPr>
          <w:rFonts w:ascii="ArialMT" w:hAnsi="ArialMT" w:cs="ArialMT"/>
          <w:color w:val="000000" w:themeColor="text1"/>
          <w:sz w:val="20"/>
          <w:szCs w:val="20"/>
        </w:rPr>
        <w:t>poziomu, ułożenia posadzki, stanowienia posadzki,</w:t>
      </w:r>
    </w:p>
    <w:p w:rsidR="00230951" w:rsidRPr="00851AE1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851AE1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 xml:space="preserve">szczeliny dylatacyjne </w:t>
      </w:r>
      <w:r w:rsidRPr="00851AE1">
        <w:rPr>
          <w:rFonts w:ascii="ArialMT" w:hAnsi="ArialMT" w:cs="ArialMT"/>
          <w:color w:val="000000" w:themeColor="text1"/>
          <w:sz w:val="20"/>
          <w:szCs w:val="20"/>
        </w:rPr>
        <w:t>– wykonane między dwiema częściami budynku lub między polami</w:t>
      </w:r>
    </w:p>
    <w:p w:rsidR="00230951" w:rsidRPr="00851AE1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851AE1">
        <w:rPr>
          <w:rFonts w:ascii="ArialMT" w:hAnsi="ArialMT" w:cs="ArialMT"/>
          <w:color w:val="000000" w:themeColor="text1"/>
          <w:sz w:val="20"/>
          <w:szCs w:val="20"/>
        </w:rPr>
        <w:t>podkładu, pozwalające na akomodację ich odkształceń lub wzajemnych ruchów. Stosowane są w</w:t>
      </w:r>
    </w:p>
    <w:p w:rsidR="00230951" w:rsidRPr="00851AE1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851AE1">
        <w:rPr>
          <w:rFonts w:ascii="ArialMT" w:hAnsi="ArialMT" w:cs="ArialMT"/>
          <w:color w:val="000000" w:themeColor="text1"/>
          <w:sz w:val="20"/>
          <w:szCs w:val="20"/>
        </w:rPr>
        <w:t>miejscach dylatacji konstrukcji budynku oraz dodatkowo w miejscach wymagających</w:t>
      </w:r>
    </w:p>
    <w:p w:rsidR="00230951" w:rsidRPr="00851AE1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851AE1">
        <w:rPr>
          <w:rFonts w:ascii="ArialMT" w:hAnsi="ArialMT" w:cs="ArialMT"/>
          <w:color w:val="000000" w:themeColor="text1"/>
          <w:sz w:val="20"/>
          <w:szCs w:val="20"/>
        </w:rPr>
        <w:t>wyeliminowania szkodliwego wpływu rozszerzalności cieplnej i pęcznienia wyrobów,</w:t>
      </w:r>
    </w:p>
    <w:p w:rsidR="00230951" w:rsidRPr="00851AE1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851AE1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 xml:space="preserve">szczeliny izolacyjne </w:t>
      </w:r>
      <w:r w:rsidRPr="00851AE1">
        <w:rPr>
          <w:rFonts w:ascii="ArialMT" w:hAnsi="ArialMT" w:cs="ArialMT"/>
          <w:color w:val="000000" w:themeColor="text1"/>
          <w:sz w:val="20"/>
          <w:szCs w:val="20"/>
        </w:rPr>
        <w:t>– stosowane są w celu oddzielenia podłogi od innych elementów konstrukcji</w:t>
      </w:r>
    </w:p>
    <w:p w:rsidR="00230951" w:rsidRPr="00851AE1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851AE1">
        <w:rPr>
          <w:rFonts w:ascii="ArialMT" w:hAnsi="ArialMT" w:cs="ArialMT"/>
          <w:color w:val="000000" w:themeColor="text1"/>
          <w:sz w:val="20"/>
          <w:szCs w:val="20"/>
        </w:rPr>
        <w:t>obiektu, albo oddzielenia konstrukcji podłogi od podłoża lub posadzki od podkładu. Warstwa</w:t>
      </w:r>
    </w:p>
    <w:p w:rsidR="00230951" w:rsidRPr="00851AE1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851AE1">
        <w:rPr>
          <w:rFonts w:ascii="ArialMT" w:hAnsi="ArialMT" w:cs="ArialMT"/>
          <w:color w:val="000000" w:themeColor="text1"/>
          <w:sz w:val="20"/>
          <w:szCs w:val="20"/>
        </w:rPr>
        <w:t>izolacyjna w konstrukcji podłogi stanowi jednocześnie szczelinę izolacyjną. Szczeliny izolacyjne</w:t>
      </w:r>
    </w:p>
    <w:p w:rsidR="00230951" w:rsidRPr="00851AE1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851AE1">
        <w:rPr>
          <w:rFonts w:ascii="ArialMT" w:hAnsi="ArialMT" w:cs="ArialMT"/>
          <w:color w:val="000000" w:themeColor="text1"/>
          <w:sz w:val="20"/>
          <w:szCs w:val="20"/>
        </w:rPr>
        <w:t>stosowane są także w miejscach zmiany grubości podkładu oraz w miejscach styku różnych</w:t>
      </w:r>
    </w:p>
    <w:p w:rsidR="00230951" w:rsidRPr="00851AE1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851AE1">
        <w:rPr>
          <w:rFonts w:ascii="ArialMT" w:hAnsi="ArialMT" w:cs="ArialMT"/>
          <w:color w:val="000000" w:themeColor="text1"/>
          <w:sz w:val="20"/>
          <w:szCs w:val="20"/>
        </w:rPr>
        <w:t>konstrukcji podłóg,</w:t>
      </w:r>
    </w:p>
    <w:p w:rsidR="00230951" w:rsidRPr="00851AE1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851AE1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 xml:space="preserve">szczeliny przeciwskurczowe </w:t>
      </w:r>
      <w:r w:rsidRPr="00851AE1">
        <w:rPr>
          <w:rFonts w:ascii="ArialMT" w:hAnsi="ArialMT" w:cs="ArialMT"/>
          <w:color w:val="000000" w:themeColor="text1"/>
          <w:sz w:val="20"/>
          <w:szCs w:val="20"/>
        </w:rPr>
        <w:t>– wykonane na części grubości podkładu w celu wymuszenia</w:t>
      </w:r>
    </w:p>
    <w:p w:rsidR="00230951" w:rsidRPr="00851AE1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851AE1">
        <w:rPr>
          <w:rFonts w:ascii="ArialMT" w:hAnsi="ArialMT" w:cs="ArialMT"/>
          <w:color w:val="000000" w:themeColor="text1"/>
          <w:sz w:val="20"/>
          <w:szCs w:val="20"/>
        </w:rPr>
        <w:t>przewidzianego rozmieszczenia rys skurczowych lub przeniesienia odkształceń spowodowanych</w:t>
      </w:r>
    </w:p>
    <w:p w:rsidR="00230951" w:rsidRPr="00851AE1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851AE1">
        <w:rPr>
          <w:rFonts w:ascii="ArialMT" w:hAnsi="ArialMT" w:cs="ArialMT"/>
          <w:color w:val="000000" w:themeColor="text1"/>
          <w:sz w:val="20"/>
          <w:szCs w:val="20"/>
        </w:rPr>
        <w:t>skurczem. Szczeliny przeciwskurczowe stosuje się w podkładach z zaprawy cementowej i</w:t>
      </w:r>
      <w:r w:rsidR="006B31E0">
        <w:rPr>
          <w:rFonts w:ascii="ArialMT" w:hAnsi="ArialMT" w:cs="ArialMT"/>
          <w:color w:val="000000" w:themeColor="text1"/>
          <w:sz w:val="20"/>
          <w:szCs w:val="20"/>
        </w:rPr>
        <w:t> </w:t>
      </w:r>
      <w:r w:rsidRPr="00851AE1">
        <w:rPr>
          <w:rFonts w:ascii="ArialMT" w:hAnsi="ArialMT" w:cs="ArialMT"/>
          <w:color w:val="000000" w:themeColor="text1"/>
          <w:sz w:val="20"/>
          <w:szCs w:val="20"/>
        </w:rPr>
        <w:t>betonowych. Dzielą one podkład na pola o powierzchni nie większej niż 36 m</w:t>
      </w:r>
      <w:r w:rsidRPr="00851AE1">
        <w:rPr>
          <w:rFonts w:ascii="ArialMT" w:hAnsi="ArialMT" w:cs="ArialMT"/>
          <w:color w:val="000000" w:themeColor="text1"/>
          <w:sz w:val="12"/>
          <w:szCs w:val="12"/>
        </w:rPr>
        <w:t>2</w:t>
      </w:r>
      <w:r w:rsidRPr="00851AE1">
        <w:rPr>
          <w:rFonts w:ascii="ArialMT" w:hAnsi="ArialMT" w:cs="ArialMT"/>
          <w:color w:val="000000" w:themeColor="text1"/>
          <w:sz w:val="20"/>
          <w:szCs w:val="20"/>
        </w:rPr>
        <w:t>, przy długości boku</w:t>
      </w:r>
    </w:p>
    <w:p w:rsidR="00230951" w:rsidRPr="00851AE1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851AE1">
        <w:rPr>
          <w:rFonts w:ascii="ArialMT" w:hAnsi="ArialMT" w:cs="ArialMT"/>
          <w:color w:val="000000" w:themeColor="text1"/>
          <w:sz w:val="20"/>
          <w:szCs w:val="20"/>
        </w:rPr>
        <w:t>prostokąta nie większej niż 6 m. Szczeliny przeciwskurczowe w podkładzie cementowym są</w:t>
      </w:r>
    </w:p>
    <w:p w:rsidR="00230951" w:rsidRPr="00851AE1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851AE1">
        <w:rPr>
          <w:rFonts w:ascii="ArialMT" w:hAnsi="ArialMT" w:cs="ArialMT"/>
          <w:color w:val="000000" w:themeColor="text1"/>
          <w:sz w:val="20"/>
          <w:szCs w:val="20"/>
        </w:rPr>
        <w:t>wykonywane jako nacięcia o głębokości około 1/3 grubości podkładu. Prace muszą zostać</w:t>
      </w:r>
    </w:p>
    <w:p w:rsidR="00230951" w:rsidRPr="00851AE1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851AE1">
        <w:rPr>
          <w:rFonts w:ascii="ArialMT" w:hAnsi="ArialMT" w:cs="ArialMT"/>
          <w:color w:val="000000" w:themeColor="text1"/>
          <w:sz w:val="20"/>
          <w:szCs w:val="20"/>
        </w:rPr>
        <w:t>wykonane przed przystąpieniem do montażu podłogi sportowej</w:t>
      </w:r>
    </w:p>
    <w:p w:rsidR="00230951" w:rsidRPr="00851AE1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  <w:r w:rsidRPr="00851AE1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1.5. Ogólne wymagania dotyczące robót</w:t>
      </w:r>
    </w:p>
    <w:p w:rsidR="00230951" w:rsidRPr="00851AE1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851AE1">
        <w:rPr>
          <w:rFonts w:ascii="ArialMT" w:hAnsi="ArialMT" w:cs="ArialMT"/>
          <w:color w:val="000000" w:themeColor="text1"/>
          <w:sz w:val="20"/>
          <w:szCs w:val="20"/>
        </w:rPr>
        <w:t>Ogólne wymagania dotyczące wykonania i odbioru robót podano w ST 01 „Wymagania ogólne” pkt</w:t>
      </w:r>
    </w:p>
    <w:p w:rsidR="00230951" w:rsidRPr="00851AE1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851AE1">
        <w:rPr>
          <w:rFonts w:ascii="ArialMT" w:hAnsi="ArialMT" w:cs="ArialMT"/>
          <w:color w:val="000000" w:themeColor="text1"/>
          <w:sz w:val="20"/>
          <w:szCs w:val="20"/>
        </w:rPr>
        <w:t>1.5.</w:t>
      </w:r>
    </w:p>
    <w:p w:rsidR="00230951" w:rsidRPr="00851AE1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851AE1">
        <w:rPr>
          <w:rFonts w:ascii="ArialMT" w:hAnsi="ArialMT" w:cs="ArialMT"/>
          <w:color w:val="000000" w:themeColor="text1"/>
          <w:sz w:val="20"/>
          <w:szCs w:val="20"/>
        </w:rPr>
        <w:lastRenderedPageBreak/>
        <w:t>Wykonawca robót jest odpowiedzialny za jakość ich wykonania oraz zgodność z dokumentacją</w:t>
      </w:r>
    </w:p>
    <w:p w:rsidR="00230951" w:rsidRPr="00851AE1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851AE1">
        <w:rPr>
          <w:rFonts w:ascii="ArialMT" w:hAnsi="ArialMT" w:cs="ArialMT"/>
          <w:color w:val="000000" w:themeColor="text1"/>
          <w:sz w:val="20"/>
          <w:szCs w:val="20"/>
        </w:rPr>
        <w:t>projektową, ST i poleceniami Inspektora nadzoru.</w:t>
      </w:r>
    </w:p>
    <w:p w:rsidR="00230951" w:rsidRPr="00851AE1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  <w:r w:rsidRPr="00851AE1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2. SYSTEMY I MATERIAŁY PODŁÓG SPORTOWYCH</w:t>
      </w:r>
    </w:p>
    <w:p w:rsidR="00230951" w:rsidRPr="00851AE1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  <w:r w:rsidRPr="00851AE1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2.1. Ogólne wymagania dotyczące materiałów</w:t>
      </w:r>
    </w:p>
    <w:p w:rsidR="00230951" w:rsidRPr="00851AE1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851AE1">
        <w:rPr>
          <w:rFonts w:ascii="ArialMT" w:hAnsi="ArialMT" w:cs="ArialMT"/>
          <w:color w:val="000000" w:themeColor="text1"/>
          <w:sz w:val="20"/>
          <w:szCs w:val="20"/>
        </w:rPr>
        <w:t>Ogólne wymagania dotyczące materiałów, ich pozyskiwania i składowania podano w ST 01</w:t>
      </w:r>
    </w:p>
    <w:p w:rsidR="00230951" w:rsidRPr="00851AE1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851AE1">
        <w:rPr>
          <w:rFonts w:ascii="ArialMT" w:hAnsi="ArialMT" w:cs="ArialMT"/>
          <w:color w:val="000000" w:themeColor="text1"/>
          <w:sz w:val="20"/>
          <w:szCs w:val="20"/>
        </w:rPr>
        <w:t>„Wymagania ogólne” pkt 2.</w:t>
      </w:r>
    </w:p>
    <w:p w:rsidR="00230951" w:rsidRPr="00851AE1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851AE1">
        <w:rPr>
          <w:rFonts w:ascii="ArialMT" w:hAnsi="ArialMT" w:cs="ArialMT"/>
          <w:color w:val="000000" w:themeColor="text1"/>
          <w:sz w:val="20"/>
          <w:szCs w:val="20"/>
        </w:rPr>
        <w:t>Na podłogi sportowe wymagane są:</w:t>
      </w:r>
    </w:p>
    <w:p w:rsidR="00230951" w:rsidRPr="00851AE1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851AE1">
        <w:rPr>
          <w:rFonts w:ascii="ArialMT" w:hAnsi="ArialMT" w:cs="ArialMT"/>
          <w:color w:val="000000" w:themeColor="text1"/>
          <w:sz w:val="20"/>
          <w:szCs w:val="20"/>
        </w:rPr>
        <w:t xml:space="preserve">- dokumenty potwierdzające zgodność z normą </w:t>
      </w:r>
      <w:r w:rsidR="00515A80">
        <w:t>PN-EN 14904:2009</w:t>
      </w:r>
      <w:r w:rsidR="00515A80">
        <w:t xml:space="preserve"> </w:t>
      </w:r>
      <w:r w:rsidRPr="00851AE1">
        <w:rPr>
          <w:rFonts w:ascii="ArialMT" w:hAnsi="ArialMT" w:cs="ArialMT"/>
          <w:color w:val="000000" w:themeColor="text1"/>
          <w:sz w:val="20"/>
          <w:szCs w:val="20"/>
        </w:rPr>
        <w:t>wraz raportem z badania</w:t>
      </w:r>
    </w:p>
    <w:p w:rsidR="00230951" w:rsidRPr="00851AE1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851AE1">
        <w:rPr>
          <w:rFonts w:ascii="ArialMT" w:hAnsi="ArialMT" w:cs="ArialMT"/>
          <w:color w:val="000000" w:themeColor="text1"/>
          <w:sz w:val="20"/>
          <w:szCs w:val="20"/>
        </w:rPr>
        <w:t>parametrów,</w:t>
      </w:r>
    </w:p>
    <w:p w:rsidR="00230951" w:rsidRPr="00851AE1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851AE1">
        <w:rPr>
          <w:rFonts w:ascii="ArialMT" w:hAnsi="ArialMT" w:cs="ArialMT"/>
          <w:color w:val="000000" w:themeColor="text1"/>
          <w:sz w:val="20"/>
          <w:szCs w:val="20"/>
        </w:rPr>
        <w:t>- atest higieniczny na cały system</w:t>
      </w:r>
    </w:p>
    <w:p w:rsidR="00230951" w:rsidRPr="00B22BE3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  <w:lang w:val="en-US"/>
        </w:rPr>
      </w:pPr>
      <w:r w:rsidRPr="00B22BE3">
        <w:rPr>
          <w:rFonts w:ascii="ArialMT" w:hAnsi="ArialMT" w:cs="ArialMT"/>
          <w:color w:val="000000" w:themeColor="text1"/>
          <w:sz w:val="20"/>
          <w:szCs w:val="20"/>
          <w:lang w:val="en-US"/>
        </w:rPr>
        <w:t xml:space="preserve">- </w:t>
      </w:r>
      <w:proofErr w:type="spellStart"/>
      <w:r w:rsidRPr="00B22BE3">
        <w:rPr>
          <w:rFonts w:ascii="ArialMT" w:hAnsi="ArialMT" w:cs="ArialMT"/>
          <w:color w:val="000000" w:themeColor="text1"/>
          <w:sz w:val="20"/>
          <w:szCs w:val="20"/>
          <w:lang w:val="en-US"/>
        </w:rPr>
        <w:t>atest</w:t>
      </w:r>
      <w:proofErr w:type="spellEnd"/>
      <w:r w:rsidRPr="00B22BE3">
        <w:rPr>
          <w:rFonts w:ascii="ArialMT" w:hAnsi="ArialMT" w:cs="ArialMT"/>
          <w:color w:val="000000" w:themeColor="text1"/>
          <w:sz w:val="20"/>
          <w:szCs w:val="20"/>
          <w:lang w:val="en-US"/>
        </w:rPr>
        <w:t xml:space="preserve"> ITB</w:t>
      </w:r>
    </w:p>
    <w:p w:rsidR="00230951" w:rsidRPr="00B22BE3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  <w:lang w:val="en-US"/>
        </w:rPr>
      </w:pPr>
      <w:r w:rsidRPr="00B22BE3">
        <w:rPr>
          <w:rFonts w:ascii="ArialMT" w:hAnsi="ArialMT" w:cs="ArialMT"/>
          <w:color w:val="000000" w:themeColor="text1"/>
          <w:sz w:val="20"/>
          <w:szCs w:val="20"/>
          <w:lang w:val="en-US"/>
        </w:rPr>
        <w:t xml:space="preserve">- </w:t>
      </w:r>
      <w:proofErr w:type="spellStart"/>
      <w:r w:rsidRPr="00B22BE3">
        <w:rPr>
          <w:rFonts w:ascii="ArialMT" w:hAnsi="ArialMT" w:cs="ArialMT"/>
          <w:color w:val="000000" w:themeColor="text1"/>
          <w:sz w:val="20"/>
          <w:szCs w:val="20"/>
          <w:lang w:val="en-US"/>
        </w:rPr>
        <w:t>atest</w:t>
      </w:r>
      <w:proofErr w:type="spellEnd"/>
      <w:r w:rsidRPr="00B22BE3">
        <w:rPr>
          <w:rFonts w:ascii="ArialMT" w:hAnsi="ArialMT" w:cs="ArialMT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22BE3">
        <w:rPr>
          <w:rFonts w:ascii="ArialMT" w:hAnsi="ArialMT" w:cs="ArialMT"/>
          <w:color w:val="000000" w:themeColor="text1"/>
          <w:sz w:val="20"/>
          <w:szCs w:val="20"/>
          <w:lang w:val="en-US"/>
        </w:rPr>
        <w:t>p.poż</w:t>
      </w:r>
      <w:proofErr w:type="spellEnd"/>
      <w:r w:rsidRPr="00B22BE3">
        <w:rPr>
          <w:rFonts w:ascii="ArialMT" w:hAnsi="ArialMT" w:cs="ArialMT"/>
          <w:color w:val="000000" w:themeColor="text1"/>
          <w:sz w:val="20"/>
          <w:szCs w:val="20"/>
          <w:lang w:val="en-US"/>
        </w:rPr>
        <w:t>.</w:t>
      </w:r>
    </w:p>
    <w:p w:rsidR="00230951" w:rsidRPr="00DA1077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851AE1">
        <w:rPr>
          <w:rFonts w:ascii="ArialMT" w:hAnsi="ArialMT" w:cs="ArialMT"/>
          <w:color w:val="000000" w:themeColor="text1"/>
          <w:sz w:val="20"/>
          <w:szCs w:val="20"/>
        </w:rPr>
        <w:t>- świadectwo Instytutu Technologii Drew</w:t>
      </w:r>
      <w:r w:rsidRPr="00DA1077">
        <w:rPr>
          <w:rFonts w:ascii="ArialMT" w:hAnsi="ArialMT" w:cs="ArialMT"/>
          <w:color w:val="000000" w:themeColor="text1"/>
          <w:sz w:val="20"/>
          <w:szCs w:val="20"/>
        </w:rPr>
        <w:t>na</w:t>
      </w:r>
    </w:p>
    <w:p w:rsidR="00230951" w:rsidRPr="00DA1077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  <w:r w:rsidRPr="00DA1077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2.2. Systemy</w:t>
      </w:r>
    </w:p>
    <w:p w:rsidR="00230951" w:rsidRPr="00DA1077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  <w:r w:rsidRPr="00DA1077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2.2.1. Systemowa podłoga sportowa powierzchniowo sprężysta na legarach listwy</w:t>
      </w:r>
    </w:p>
    <w:p w:rsidR="00230951" w:rsidRPr="00DA1077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  <w:r w:rsidRPr="00DA1077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przyścienne – cokoliki wentylacyjno-dylatacyjne</w:t>
      </w:r>
    </w:p>
    <w:p w:rsidR="00DA1077" w:rsidRPr="00515A80" w:rsidRDefault="00230951" w:rsidP="006B31E0">
      <w:pPr>
        <w:spacing w:after="0" w:line="360" w:lineRule="auto"/>
        <w:jc w:val="both"/>
        <w:rPr>
          <w:color w:val="000000" w:themeColor="text1"/>
        </w:rPr>
      </w:pPr>
      <w:r w:rsidRPr="00515A80">
        <w:rPr>
          <w:rFonts w:ascii="ArialMT" w:hAnsi="ArialMT" w:cs="ArialMT"/>
          <w:color w:val="000000" w:themeColor="text1"/>
          <w:sz w:val="20"/>
          <w:szCs w:val="20"/>
        </w:rPr>
        <w:t xml:space="preserve">- nawierzchnia sportowa z </w:t>
      </w:r>
      <w:proofErr w:type="spellStart"/>
      <w:r w:rsidR="008D0362" w:rsidRPr="00515A80">
        <w:rPr>
          <w:rFonts w:ascii="ArialMT" w:hAnsi="ArialMT" w:cs="ArialMT"/>
          <w:color w:val="000000" w:themeColor="text1"/>
          <w:sz w:val="20"/>
          <w:szCs w:val="20"/>
        </w:rPr>
        <w:t>bezspoinowej</w:t>
      </w:r>
      <w:proofErr w:type="spellEnd"/>
      <w:r w:rsidR="008D0362" w:rsidRPr="00515A80">
        <w:rPr>
          <w:rFonts w:ascii="ArialMT" w:hAnsi="ArialMT" w:cs="ArialMT"/>
          <w:color w:val="000000" w:themeColor="text1"/>
          <w:sz w:val="20"/>
          <w:szCs w:val="20"/>
        </w:rPr>
        <w:t xml:space="preserve"> </w:t>
      </w:r>
      <w:r w:rsidR="00DA1077" w:rsidRPr="00515A80">
        <w:rPr>
          <w:rFonts w:ascii="ArialMT" w:hAnsi="ArialMT" w:cs="ArialMT"/>
          <w:color w:val="000000" w:themeColor="text1"/>
          <w:sz w:val="20"/>
          <w:szCs w:val="20"/>
        </w:rPr>
        <w:t xml:space="preserve">wylewki poliuretanowej </w:t>
      </w:r>
      <w:r w:rsidRPr="00515A80">
        <w:rPr>
          <w:rFonts w:ascii="ArialMT" w:hAnsi="ArialMT" w:cs="ArialMT"/>
          <w:color w:val="000000" w:themeColor="text1"/>
          <w:sz w:val="20"/>
          <w:szCs w:val="20"/>
        </w:rPr>
        <w:t xml:space="preserve">o gr. min. </w:t>
      </w:r>
      <w:r w:rsidR="00DA1077" w:rsidRPr="00515A80">
        <w:rPr>
          <w:rFonts w:ascii="ArialMT" w:hAnsi="ArialMT" w:cs="ArialMT"/>
          <w:color w:val="000000" w:themeColor="text1"/>
          <w:sz w:val="20"/>
          <w:szCs w:val="20"/>
        </w:rPr>
        <w:t xml:space="preserve">2,0mm ułożonej na </w:t>
      </w:r>
      <w:r w:rsidR="00DA1077" w:rsidRPr="00515A80">
        <w:rPr>
          <w:color w:val="000000" w:themeColor="text1"/>
        </w:rPr>
        <w:t xml:space="preserve">dwóch warstwach płyty MFP P5 gr. min. 12mm </w:t>
      </w:r>
    </w:p>
    <w:p w:rsidR="00230951" w:rsidRPr="00515A80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515A80">
        <w:rPr>
          <w:rFonts w:ascii="TimesNewRomanPSMT" w:hAnsi="TimesNewRomanPSMT" w:cs="TimesNewRomanPSMT"/>
          <w:color w:val="000000" w:themeColor="text1"/>
          <w:sz w:val="20"/>
          <w:szCs w:val="20"/>
        </w:rPr>
        <w:t xml:space="preserve">- </w:t>
      </w:r>
      <w:r w:rsidRPr="00515A80">
        <w:rPr>
          <w:rFonts w:ascii="ArialMT" w:hAnsi="ArialMT" w:cs="ArialMT"/>
          <w:color w:val="000000" w:themeColor="text1"/>
          <w:sz w:val="20"/>
          <w:szCs w:val="20"/>
        </w:rPr>
        <w:t xml:space="preserve">listwy przyścienne </w:t>
      </w:r>
      <w:r w:rsidR="00515A80" w:rsidRPr="00515A80">
        <w:rPr>
          <w:rFonts w:ascii="ArialMT" w:hAnsi="ArialMT" w:cs="ArialMT"/>
          <w:color w:val="000000" w:themeColor="text1"/>
          <w:sz w:val="20"/>
          <w:szCs w:val="20"/>
        </w:rPr>
        <w:t>systemowe,</w:t>
      </w:r>
    </w:p>
    <w:p w:rsidR="00230951" w:rsidRPr="00515A80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515A80">
        <w:rPr>
          <w:rFonts w:ascii="TimesNewRomanPSMT" w:hAnsi="TimesNewRomanPSMT" w:cs="TimesNewRomanPSMT"/>
          <w:color w:val="000000" w:themeColor="text1"/>
          <w:sz w:val="20"/>
          <w:szCs w:val="20"/>
        </w:rPr>
        <w:t xml:space="preserve">- </w:t>
      </w:r>
      <w:r w:rsidRPr="00515A80">
        <w:rPr>
          <w:rFonts w:ascii="ArialMT" w:hAnsi="ArialMT" w:cs="ArialMT"/>
          <w:color w:val="000000" w:themeColor="text1"/>
          <w:sz w:val="20"/>
          <w:szCs w:val="20"/>
        </w:rPr>
        <w:t>systemowy podwójny ruszt, składający się z dwóch leżących na sobie legarach przedzielonych</w:t>
      </w:r>
      <w:r w:rsidR="00515A80" w:rsidRPr="00515A80">
        <w:rPr>
          <w:rFonts w:ascii="ArialMT" w:hAnsi="ArialMT" w:cs="ArialMT"/>
          <w:color w:val="000000" w:themeColor="text1"/>
          <w:sz w:val="20"/>
          <w:szCs w:val="20"/>
        </w:rPr>
        <w:t xml:space="preserve"> </w:t>
      </w:r>
      <w:r w:rsidRPr="00515A80">
        <w:rPr>
          <w:rFonts w:ascii="ArialMT" w:hAnsi="ArialMT" w:cs="ArialMT"/>
          <w:color w:val="000000" w:themeColor="text1"/>
          <w:sz w:val="20"/>
          <w:szCs w:val="20"/>
        </w:rPr>
        <w:t xml:space="preserve">elementami ze elementami elastycznymi, </w:t>
      </w:r>
    </w:p>
    <w:p w:rsidR="00230951" w:rsidRPr="00515A80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515A80">
        <w:rPr>
          <w:rFonts w:ascii="TimesNewRomanPSMT" w:hAnsi="TimesNewRomanPSMT" w:cs="TimesNewRomanPSMT"/>
          <w:color w:val="000000" w:themeColor="text1"/>
          <w:sz w:val="20"/>
          <w:szCs w:val="20"/>
        </w:rPr>
        <w:t xml:space="preserve">- </w:t>
      </w:r>
      <w:r w:rsidRPr="00515A80">
        <w:rPr>
          <w:rFonts w:ascii="ArialMT" w:hAnsi="ArialMT" w:cs="ArialMT"/>
          <w:color w:val="000000" w:themeColor="text1"/>
          <w:sz w:val="20"/>
          <w:szCs w:val="20"/>
        </w:rPr>
        <w:t>elementy dystansowe systemowe</w:t>
      </w:r>
    </w:p>
    <w:p w:rsidR="00230951" w:rsidRPr="00515A80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515A80">
        <w:rPr>
          <w:rFonts w:ascii="TimesNewRomanPSMT" w:hAnsi="TimesNewRomanPSMT" w:cs="TimesNewRomanPSMT"/>
          <w:color w:val="000000" w:themeColor="text1"/>
          <w:sz w:val="20"/>
          <w:szCs w:val="20"/>
        </w:rPr>
        <w:t xml:space="preserve">- </w:t>
      </w:r>
      <w:r w:rsidRPr="00515A80">
        <w:rPr>
          <w:rFonts w:ascii="ArialMT" w:hAnsi="ArialMT" w:cs="ArialMT"/>
          <w:color w:val="000000" w:themeColor="text1"/>
          <w:sz w:val="20"/>
          <w:szCs w:val="20"/>
        </w:rPr>
        <w:t>ślepa podłoga gr. min.15 mm z desek zamontowana w pozycji poprzecznej do rusztu. Odstęp</w:t>
      </w:r>
    </w:p>
    <w:p w:rsidR="00230951" w:rsidRPr="00515A80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515A80">
        <w:rPr>
          <w:rFonts w:ascii="ArialMT" w:hAnsi="ArialMT" w:cs="ArialMT"/>
          <w:color w:val="000000" w:themeColor="text1"/>
          <w:sz w:val="20"/>
          <w:szCs w:val="20"/>
        </w:rPr>
        <w:t>pomiędzy deskami ślepej podłogi nie większy niż 50 mm</w:t>
      </w:r>
    </w:p>
    <w:p w:rsidR="00230951" w:rsidRPr="00420BCC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515A80">
        <w:rPr>
          <w:rFonts w:ascii="TimesNewRomanPSMT" w:hAnsi="TimesNewRomanPSMT" w:cs="TimesNewRomanPSMT"/>
          <w:color w:val="000000" w:themeColor="text1"/>
          <w:sz w:val="20"/>
          <w:szCs w:val="20"/>
        </w:rPr>
        <w:t xml:space="preserve">- </w:t>
      </w:r>
      <w:r w:rsidRPr="00515A80">
        <w:rPr>
          <w:rFonts w:ascii="ArialMT" w:hAnsi="ArialMT" w:cs="ArialMT"/>
          <w:color w:val="000000" w:themeColor="text1"/>
          <w:sz w:val="20"/>
          <w:szCs w:val="20"/>
        </w:rPr>
        <w:t>folia paroizolacyjna o grubości 0,15 mm</w:t>
      </w:r>
    </w:p>
    <w:p w:rsidR="00230951" w:rsidRPr="00420BCC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  <w:r w:rsidRPr="00420BCC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2.3. Materiały</w:t>
      </w:r>
    </w:p>
    <w:p w:rsidR="00230951" w:rsidRPr="00420BCC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  <w:r w:rsidRPr="00420BCC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2.3.1. Warstwa nawierzchniowa podłogi sportowej powierzchniowo-elastycznej</w:t>
      </w:r>
    </w:p>
    <w:p w:rsidR="00230951" w:rsidRPr="00420BCC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420BCC">
        <w:rPr>
          <w:rFonts w:ascii="ArialMT" w:hAnsi="ArialMT" w:cs="ArialMT"/>
          <w:color w:val="000000" w:themeColor="text1"/>
          <w:sz w:val="20"/>
          <w:szCs w:val="20"/>
        </w:rPr>
        <w:t xml:space="preserve">Warstwa nawierzchniowa podłogi sportowej dla sali sportowej wykonana z </w:t>
      </w:r>
      <w:r w:rsidR="00515A80" w:rsidRPr="00420BCC">
        <w:rPr>
          <w:rFonts w:ascii="ArialMT" w:hAnsi="ArialMT" w:cs="ArialMT"/>
          <w:color w:val="000000" w:themeColor="text1"/>
          <w:sz w:val="20"/>
          <w:szCs w:val="20"/>
        </w:rPr>
        <w:t xml:space="preserve">poliuretanu, </w:t>
      </w:r>
      <w:proofErr w:type="spellStart"/>
      <w:r w:rsidR="00515A80" w:rsidRPr="00420BCC">
        <w:rPr>
          <w:rFonts w:ascii="ArialMT" w:hAnsi="ArialMT" w:cs="ArialMT"/>
          <w:color w:val="000000" w:themeColor="text1"/>
          <w:sz w:val="20"/>
          <w:szCs w:val="20"/>
        </w:rPr>
        <w:t>bezspoinowa</w:t>
      </w:r>
      <w:proofErr w:type="spellEnd"/>
      <w:r w:rsidR="00515A80" w:rsidRPr="00420BCC">
        <w:rPr>
          <w:rFonts w:ascii="ArialMT" w:hAnsi="ArialMT" w:cs="ArialMT"/>
          <w:color w:val="000000" w:themeColor="text1"/>
          <w:sz w:val="20"/>
          <w:szCs w:val="20"/>
        </w:rPr>
        <w:t xml:space="preserve">. </w:t>
      </w:r>
    </w:p>
    <w:p w:rsidR="00230951" w:rsidRPr="00420BCC" w:rsidRDefault="00420BCC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420BCC">
        <w:rPr>
          <w:rFonts w:ascii="ArialMT" w:hAnsi="ArialMT" w:cs="ArialMT"/>
          <w:color w:val="000000" w:themeColor="text1"/>
          <w:sz w:val="20"/>
          <w:szCs w:val="20"/>
        </w:rPr>
        <w:t>Podłoga powinna spełniać wymagania wynikające funkcji i przeznaczenia</w:t>
      </w:r>
      <w:r w:rsidR="00230951" w:rsidRPr="00420BCC">
        <w:rPr>
          <w:rFonts w:ascii="ArialMT" w:hAnsi="ArialMT" w:cs="ArialMT"/>
          <w:color w:val="000000" w:themeColor="text1"/>
          <w:sz w:val="20"/>
          <w:szCs w:val="20"/>
        </w:rPr>
        <w:t>, nie</w:t>
      </w:r>
      <w:r w:rsidRPr="00420BCC">
        <w:rPr>
          <w:rFonts w:ascii="ArialMT" w:hAnsi="ArialMT" w:cs="ArialMT"/>
          <w:color w:val="000000" w:themeColor="text1"/>
          <w:sz w:val="20"/>
          <w:szCs w:val="20"/>
        </w:rPr>
        <w:t xml:space="preserve"> </w:t>
      </w:r>
      <w:r w:rsidR="00230951" w:rsidRPr="00420BCC">
        <w:rPr>
          <w:rFonts w:ascii="ArialMT" w:hAnsi="ArialMT" w:cs="ArialMT"/>
          <w:color w:val="000000" w:themeColor="text1"/>
          <w:sz w:val="20"/>
          <w:szCs w:val="20"/>
        </w:rPr>
        <w:t xml:space="preserve">powinny wydzielać związków chemicznych szkodliwych dla zdrowia i być </w:t>
      </w:r>
      <w:proofErr w:type="spellStart"/>
      <w:r w:rsidR="00230951" w:rsidRPr="00420BCC">
        <w:rPr>
          <w:rFonts w:ascii="ArialMT" w:hAnsi="ArialMT" w:cs="ArialMT"/>
          <w:color w:val="000000" w:themeColor="text1"/>
          <w:sz w:val="20"/>
          <w:szCs w:val="20"/>
        </w:rPr>
        <w:t>trudnozapaln</w:t>
      </w:r>
      <w:r w:rsidRPr="00420BCC">
        <w:rPr>
          <w:rFonts w:ascii="ArialMT" w:hAnsi="ArialMT" w:cs="ArialMT"/>
          <w:color w:val="000000" w:themeColor="text1"/>
          <w:sz w:val="20"/>
          <w:szCs w:val="20"/>
        </w:rPr>
        <w:t>a</w:t>
      </w:r>
      <w:proofErr w:type="spellEnd"/>
      <w:r w:rsidR="00230951" w:rsidRPr="00420BCC">
        <w:rPr>
          <w:rFonts w:ascii="ArialMT" w:hAnsi="ArialMT" w:cs="ArialMT"/>
          <w:color w:val="000000" w:themeColor="text1"/>
          <w:sz w:val="20"/>
          <w:szCs w:val="20"/>
        </w:rPr>
        <w:t>.</w:t>
      </w:r>
    </w:p>
    <w:p w:rsidR="00230951" w:rsidRPr="00420BCC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  <w:r w:rsidRPr="00420BCC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2.3.2. Listwy przyścienne</w:t>
      </w:r>
    </w:p>
    <w:p w:rsidR="00230951" w:rsidRPr="00420BCC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420BCC">
        <w:rPr>
          <w:rFonts w:ascii="ArialMT" w:hAnsi="ArialMT" w:cs="ArialMT"/>
          <w:color w:val="000000" w:themeColor="text1"/>
          <w:sz w:val="20"/>
          <w:szCs w:val="20"/>
        </w:rPr>
        <w:t xml:space="preserve">Listwy przyścienne </w:t>
      </w:r>
      <w:r w:rsidR="00420BCC" w:rsidRPr="00420BCC">
        <w:rPr>
          <w:rFonts w:ascii="ArialMT" w:hAnsi="ArialMT" w:cs="ArialMT"/>
          <w:color w:val="000000" w:themeColor="text1"/>
          <w:sz w:val="20"/>
          <w:szCs w:val="20"/>
        </w:rPr>
        <w:t xml:space="preserve">i sposób ich montażu powinien </w:t>
      </w:r>
      <w:r w:rsidRPr="00420BCC">
        <w:rPr>
          <w:rFonts w:ascii="ArialMT" w:hAnsi="ArialMT" w:cs="ArialMT"/>
          <w:color w:val="000000" w:themeColor="text1"/>
          <w:sz w:val="20"/>
          <w:szCs w:val="20"/>
        </w:rPr>
        <w:t>umożliwia</w:t>
      </w:r>
      <w:r w:rsidR="00420BCC" w:rsidRPr="00420BCC">
        <w:rPr>
          <w:rFonts w:ascii="ArialMT" w:hAnsi="ArialMT" w:cs="ArialMT"/>
          <w:color w:val="000000" w:themeColor="text1"/>
          <w:sz w:val="20"/>
          <w:szCs w:val="20"/>
        </w:rPr>
        <w:t>ć</w:t>
      </w:r>
      <w:r w:rsidRPr="00420BCC">
        <w:rPr>
          <w:rFonts w:ascii="ArialMT" w:hAnsi="ArialMT" w:cs="ArialMT"/>
          <w:color w:val="000000" w:themeColor="text1"/>
          <w:sz w:val="20"/>
          <w:szCs w:val="20"/>
        </w:rPr>
        <w:t xml:space="preserve"> wentylację</w:t>
      </w:r>
      <w:r w:rsidR="00420BCC" w:rsidRPr="00420BCC">
        <w:rPr>
          <w:rFonts w:ascii="ArialMT" w:hAnsi="ArialMT" w:cs="ArialMT"/>
          <w:color w:val="000000" w:themeColor="text1"/>
          <w:sz w:val="20"/>
          <w:szCs w:val="20"/>
        </w:rPr>
        <w:t xml:space="preserve"> </w:t>
      </w:r>
      <w:r w:rsidRPr="00420BCC">
        <w:rPr>
          <w:rFonts w:ascii="ArialMT" w:hAnsi="ArialMT" w:cs="ArialMT"/>
          <w:color w:val="000000" w:themeColor="text1"/>
          <w:sz w:val="20"/>
          <w:szCs w:val="20"/>
        </w:rPr>
        <w:t xml:space="preserve">przestrzeni </w:t>
      </w:r>
      <w:r w:rsidR="00420BCC" w:rsidRPr="00420BCC">
        <w:rPr>
          <w:rFonts w:ascii="ArialMT" w:hAnsi="ArialMT" w:cs="ArialMT"/>
          <w:color w:val="000000" w:themeColor="text1"/>
          <w:sz w:val="20"/>
          <w:szCs w:val="20"/>
        </w:rPr>
        <w:t>p</w:t>
      </w:r>
      <w:r w:rsidRPr="00420BCC">
        <w:rPr>
          <w:rFonts w:ascii="ArialMT" w:hAnsi="ArialMT" w:cs="ArialMT"/>
          <w:color w:val="000000" w:themeColor="text1"/>
          <w:sz w:val="20"/>
          <w:szCs w:val="20"/>
        </w:rPr>
        <w:t>odpodłogowej.</w:t>
      </w:r>
      <w:r w:rsidR="00420BCC" w:rsidRPr="00420BCC">
        <w:rPr>
          <w:rFonts w:ascii="ArialMT" w:hAnsi="ArialMT" w:cs="ArialMT"/>
          <w:color w:val="000000" w:themeColor="text1"/>
          <w:sz w:val="20"/>
          <w:szCs w:val="20"/>
        </w:rPr>
        <w:t xml:space="preserve"> Sposób mocowania zgodny z rozwiązaniem systemowym.</w:t>
      </w:r>
    </w:p>
    <w:p w:rsidR="00230951" w:rsidRPr="00420BCC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  <w:r w:rsidRPr="00420BCC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2.3.3. Podkłady sprężyste</w:t>
      </w:r>
    </w:p>
    <w:p w:rsidR="00230951" w:rsidRPr="00420BCC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420BCC">
        <w:rPr>
          <w:rFonts w:ascii="ArialMT" w:hAnsi="ArialMT" w:cs="ArialMT"/>
          <w:color w:val="000000" w:themeColor="text1"/>
          <w:sz w:val="20"/>
          <w:szCs w:val="20"/>
        </w:rPr>
        <w:t xml:space="preserve">Sprężyste podłoże zapewnia podwójne </w:t>
      </w:r>
      <w:proofErr w:type="spellStart"/>
      <w:r w:rsidRPr="00420BCC">
        <w:rPr>
          <w:rFonts w:ascii="ArialMT" w:hAnsi="ArialMT" w:cs="ArialMT"/>
          <w:color w:val="000000" w:themeColor="text1"/>
          <w:sz w:val="20"/>
          <w:szCs w:val="20"/>
        </w:rPr>
        <w:t>legarowanie</w:t>
      </w:r>
      <w:proofErr w:type="spellEnd"/>
      <w:r w:rsidRPr="00420BCC">
        <w:rPr>
          <w:rFonts w:ascii="ArialMT" w:hAnsi="ArialMT" w:cs="ArialMT"/>
          <w:color w:val="000000" w:themeColor="text1"/>
          <w:sz w:val="20"/>
          <w:szCs w:val="20"/>
        </w:rPr>
        <w:t xml:space="preserve"> na podkładkach sprężystych i poprzecznie do</w:t>
      </w:r>
    </w:p>
    <w:p w:rsidR="00230951" w:rsidRPr="00420BCC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420BCC">
        <w:rPr>
          <w:rFonts w:ascii="ArialMT" w:hAnsi="ArialMT" w:cs="ArialMT"/>
          <w:color w:val="000000" w:themeColor="text1"/>
          <w:sz w:val="20"/>
          <w:szCs w:val="20"/>
        </w:rPr>
        <w:t xml:space="preserve">rusztu </w:t>
      </w:r>
      <w:proofErr w:type="spellStart"/>
      <w:r w:rsidRPr="00420BCC">
        <w:rPr>
          <w:rFonts w:ascii="ArialMT" w:hAnsi="ArialMT" w:cs="ArialMT"/>
          <w:color w:val="000000" w:themeColor="text1"/>
          <w:sz w:val="20"/>
          <w:szCs w:val="20"/>
        </w:rPr>
        <w:t>legarowania</w:t>
      </w:r>
      <w:proofErr w:type="spellEnd"/>
      <w:r w:rsidRPr="00420BCC">
        <w:rPr>
          <w:rFonts w:ascii="ArialMT" w:hAnsi="ArialMT" w:cs="ArialMT"/>
          <w:color w:val="000000" w:themeColor="text1"/>
          <w:sz w:val="20"/>
          <w:szCs w:val="20"/>
        </w:rPr>
        <w:t xml:space="preserve"> ułożona ślepa podłoga. Legary i ślepa</w:t>
      </w:r>
      <w:r w:rsidR="00420BCC" w:rsidRPr="00420BCC">
        <w:rPr>
          <w:rFonts w:ascii="ArialMT" w:hAnsi="ArialMT" w:cs="ArialMT"/>
          <w:color w:val="000000" w:themeColor="text1"/>
          <w:sz w:val="20"/>
          <w:szCs w:val="20"/>
        </w:rPr>
        <w:t xml:space="preserve"> </w:t>
      </w:r>
      <w:r w:rsidRPr="00420BCC">
        <w:rPr>
          <w:rFonts w:ascii="ArialMT" w:hAnsi="ArialMT" w:cs="ArialMT"/>
          <w:color w:val="000000" w:themeColor="text1"/>
          <w:sz w:val="20"/>
          <w:szCs w:val="20"/>
        </w:rPr>
        <w:t>podłoga wykonana z drewna liściastego. Przekroje legarów, grubości ślepej podłogi, warstwy</w:t>
      </w:r>
      <w:r w:rsidR="00420BCC" w:rsidRPr="00420BCC">
        <w:rPr>
          <w:rFonts w:ascii="ArialMT" w:hAnsi="ArialMT" w:cs="ArialMT"/>
          <w:color w:val="000000" w:themeColor="text1"/>
          <w:sz w:val="20"/>
          <w:szCs w:val="20"/>
        </w:rPr>
        <w:t xml:space="preserve"> </w:t>
      </w:r>
      <w:r w:rsidRPr="00420BCC">
        <w:rPr>
          <w:rFonts w:ascii="ArialMT" w:hAnsi="ArialMT" w:cs="ArialMT"/>
          <w:color w:val="000000" w:themeColor="text1"/>
          <w:sz w:val="20"/>
          <w:szCs w:val="20"/>
        </w:rPr>
        <w:t>rozkładającej obciążenia i rodzaje materiałów oraz sposoby łączenia elementów określane są</w:t>
      </w:r>
      <w:r w:rsidR="00420BCC" w:rsidRPr="00420BCC">
        <w:rPr>
          <w:rFonts w:ascii="ArialMT" w:hAnsi="ArialMT" w:cs="ArialMT"/>
          <w:color w:val="000000" w:themeColor="text1"/>
          <w:sz w:val="20"/>
          <w:szCs w:val="20"/>
        </w:rPr>
        <w:t xml:space="preserve"> </w:t>
      </w:r>
      <w:r w:rsidRPr="00420BCC">
        <w:rPr>
          <w:rFonts w:ascii="ArialMT" w:hAnsi="ArialMT" w:cs="ArialMT"/>
          <w:color w:val="000000" w:themeColor="text1"/>
          <w:sz w:val="20"/>
          <w:szCs w:val="20"/>
        </w:rPr>
        <w:t>indywidualnie przez producentów poszczególnych systemów.</w:t>
      </w:r>
    </w:p>
    <w:p w:rsidR="00230951" w:rsidRPr="00420BCC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420BCC">
        <w:rPr>
          <w:rFonts w:ascii="ArialMT" w:hAnsi="ArialMT" w:cs="ArialMT"/>
          <w:color w:val="000000" w:themeColor="text1"/>
          <w:sz w:val="20"/>
          <w:szCs w:val="20"/>
        </w:rPr>
        <w:t>Szczegółowe wymagania dotyczące materiałów określone są w aprobatach technicznych ITB dla</w:t>
      </w:r>
    </w:p>
    <w:p w:rsidR="00230951" w:rsidRPr="00420BCC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420BCC">
        <w:rPr>
          <w:rFonts w:ascii="ArialMT" w:hAnsi="ArialMT" w:cs="ArialMT"/>
          <w:color w:val="000000" w:themeColor="text1"/>
          <w:sz w:val="20"/>
          <w:szCs w:val="20"/>
        </w:rPr>
        <w:lastRenderedPageBreak/>
        <w:t>poszczególnych materiałów, stwierdzających ich przydatność do stosowania w budownictwie.</w:t>
      </w:r>
    </w:p>
    <w:p w:rsidR="00230951" w:rsidRPr="00420BCC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  <w:r w:rsidRPr="00420BCC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3. SPRZĘT</w:t>
      </w:r>
    </w:p>
    <w:p w:rsidR="00230951" w:rsidRPr="00420BCC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  <w:r w:rsidRPr="00420BCC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3.1. Ogólne wymagania</w:t>
      </w:r>
    </w:p>
    <w:p w:rsidR="00230951" w:rsidRPr="00420BCC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420BCC">
        <w:rPr>
          <w:rFonts w:ascii="ArialMT" w:hAnsi="ArialMT" w:cs="ArialMT"/>
          <w:color w:val="000000" w:themeColor="text1"/>
          <w:sz w:val="20"/>
          <w:szCs w:val="20"/>
        </w:rPr>
        <w:t>Ogólne wymagania dotyczące sprzętu podano w ST 01 „Wymagania ogólne” pkt 3.</w:t>
      </w:r>
    </w:p>
    <w:p w:rsidR="00230951" w:rsidRPr="00420BCC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  <w:r w:rsidRPr="00420BCC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3.2. Sprzęt do wykonywania robót podłogowych</w:t>
      </w:r>
    </w:p>
    <w:p w:rsidR="00230951" w:rsidRPr="00420BCC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420BCC">
        <w:rPr>
          <w:rFonts w:ascii="ArialMT" w:hAnsi="ArialMT" w:cs="ArialMT"/>
          <w:color w:val="000000" w:themeColor="text1"/>
          <w:sz w:val="20"/>
          <w:szCs w:val="20"/>
        </w:rPr>
        <w:t>Wykonywanie robót podłogowych należy wykonywać przy użyciu drobnego sprzętu budowlanego i</w:t>
      </w:r>
      <w:r w:rsidR="00420BCC" w:rsidRPr="00420BCC">
        <w:rPr>
          <w:rFonts w:ascii="ArialMT" w:hAnsi="ArialMT" w:cs="ArialMT"/>
          <w:color w:val="000000" w:themeColor="text1"/>
          <w:sz w:val="20"/>
          <w:szCs w:val="20"/>
        </w:rPr>
        <w:t> </w:t>
      </w:r>
      <w:r w:rsidRPr="00420BCC">
        <w:rPr>
          <w:rFonts w:ascii="ArialMT" w:hAnsi="ArialMT" w:cs="ArialMT"/>
          <w:color w:val="000000" w:themeColor="text1"/>
          <w:sz w:val="20"/>
          <w:szCs w:val="20"/>
        </w:rPr>
        <w:t>elektronarzędzi.</w:t>
      </w:r>
    </w:p>
    <w:p w:rsidR="00230951" w:rsidRPr="00A32E57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  <w:r w:rsidRPr="00A32E57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4. TRANSPORT</w:t>
      </w:r>
    </w:p>
    <w:p w:rsidR="00230951" w:rsidRPr="00A32E57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  <w:r w:rsidRPr="00A32E57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4.1. Ogólne wymagania</w:t>
      </w:r>
    </w:p>
    <w:p w:rsidR="00230951" w:rsidRPr="00A32E57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A32E57">
        <w:rPr>
          <w:rFonts w:ascii="ArialMT" w:hAnsi="ArialMT" w:cs="ArialMT"/>
          <w:color w:val="000000" w:themeColor="text1"/>
          <w:sz w:val="20"/>
          <w:szCs w:val="20"/>
        </w:rPr>
        <w:t>Ogólne wymagania dotyczące transportu podane są w ST 01 „Wymagania ogólne” pkt 4.</w:t>
      </w:r>
    </w:p>
    <w:p w:rsidR="00230951" w:rsidRPr="00A32E57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  <w:r w:rsidRPr="00A32E57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4.2. Pakowanie i magazynowanie materiałów podłogowych</w:t>
      </w:r>
    </w:p>
    <w:p w:rsidR="00230951" w:rsidRPr="00A32E57" w:rsidRDefault="00A32E57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A32E57">
        <w:rPr>
          <w:rFonts w:ascii="ArialMT" w:hAnsi="ArialMT" w:cs="ArialMT"/>
          <w:color w:val="000000" w:themeColor="text1"/>
          <w:sz w:val="20"/>
          <w:szCs w:val="20"/>
        </w:rPr>
        <w:t xml:space="preserve">Materiały </w:t>
      </w:r>
      <w:r w:rsidR="00230951" w:rsidRPr="00A32E57">
        <w:rPr>
          <w:rFonts w:ascii="ArialMT" w:hAnsi="ArialMT" w:cs="ArialMT"/>
          <w:color w:val="000000" w:themeColor="text1"/>
          <w:sz w:val="20"/>
          <w:szCs w:val="20"/>
        </w:rPr>
        <w:t>powinny być pakowane w sposób określony przez producenta,</w:t>
      </w:r>
      <w:r w:rsidRPr="00A32E57">
        <w:rPr>
          <w:rFonts w:ascii="ArialMT" w:hAnsi="ArialMT" w:cs="ArialMT"/>
          <w:color w:val="000000" w:themeColor="text1"/>
          <w:sz w:val="20"/>
          <w:szCs w:val="20"/>
        </w:rPr>
        <w:t xml:space="preserve"> </w:t>
      </w:r>
      <w:r w:rsidR="00230951" w:rsidRPr="00A32E57">
        <w:rPr>
          <w:rFonts w:ascii="ArialMT" w:hAnsi="ArialMT" w:cs="ArialMT"/>
          <w:color w:val="000000" w:themeColor="text1"/>
          <w:sz w:val="20"/>
          <w:szCs w:val="20"/>
        </w:rPr>
        <w:t>który zabezpiecza je przed uszkodzeniem i zniszczeniem. Instrukcja winna być dostarczona</w:t>
      </w:r>
      <w:r w:rsidRPr="00A32E57">
        <w:rPr>
          <w:rFonts w:ascii="ArialMT" w:hAnsi="ArialMT" w:cs="ArialMT"/>
          <w:color w:val="000000" w:themeColor="text1"/>
          <w:sz w:val="20"/>
          <w:szCs w:val="20"/>
        </w:rPr>
        <w:t xml:space="preserve"> </w:t>
      </w:r>
      <w:r w:rsidR="00230951" w:rsidRPr="00A32E57">
        <w:rPr>
          <w:rFonts w:ascii="ArialMT" w:hAnsi="ArialMT" w:cs="ArialMT"/>
          <w:color w:val="000000" w:themeColor="text1"/>
          <w:sz w:val="20"/>
          <w:szCs w:val="20"/>
        </w:rPr>
        <w:t>odbiorcom w języku polskim. Na każdym opakowaniu powinna znajdować się etykieta zawierająca:</w:t>
      </w:r>
    </w:p>
    <w:p w:rsidR="00230951" w:rsidRPr="00A32E57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A32E57">
        <w:rPr>
          <w:rFonts w:ascii="TimesNewRomanPSMT" w:hAnsi="TimesNewRomanPSMT" w:cs="TimesNewRomanPSMT"/>
          <w:color w:val="000000" w:themeColor="text1"/>
          <w:sz w:val="20"/>
          <w:szCs w:val="20"/>
        </w:rPr>
        <w:t xml:space="preserve">- </w:t>
      </w:r>
      <w:r w:rsidRPr="00A32E57">
        <w:rPr>
          <w:rFonts w:ascii="ArialMT" w:hAnsi="ArialMT" w:cs="ArialMT"/>
          <w:color w:val="000000" w:themeColor="text1"/>
          <w:sz w:val="20"/>
          <w:szCs w:val="20"/>
        </w:rPr>
        <w:t>nazwę i adres producenta,</w:t>
      </w:r>
    </w:p>
    <w:p w:rsidR="00230951" w:rsidRPr="00A32E57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A32E57">
        <w:rPr>
          <w:rFonts w:ascii="TimesNewRomanPSMT" w:hAnsi="TimesNewRomanPSMT" w:cs="TimesNewRomanPSMT"/>
          <w:color w:val="000000" w:themeColor="text1"/>
          <w:sz w:val="20"/>
          <w:szCs w:val="20"/>
        </w:rPr>
        <w:t xml:space="preserve">- </w:t>
      </w:r>
      <w:r w:rsidRPr="00A32E57">
        <w:rPr>
          <w:rFonts w:ascii="ArialMT" w:hAnsi="ArialMT" w:cs="ArialMT"/>
          <w:color w:val="000000" w:themeColor="text1"/>
          <w:sz w:val="20"/>
          <w:szCs w:val="20"/>
        </w:rPr>
        <w:t xml:space="preserve">nazwę wyrobu wg aprobaty technicznej </w:t>
      </w:r>
      <w:r w:rsidR="00A32E57" w:rsidRPr="00A32E57">
        <w:rPr>
          <w:rFonts w:ascii="ArialMT" w:hAnsi="ArialMT" w:cs="ArialMT"/>
          <w:color w:val="000000" w:themeColor="text1"/>
          <w:sz w:val="20"/>
          <w:szCs w:val="20"/>
        </w:rPr>
        <w:t xml:space="preserve">lub normy </w:t>
      </w:r>
      <w:r w:rsidRPr="00A32E57">
        <w:rPr>
          <w:rFonts w:ascii="ArialMT" w:hAnsi="ArialMT" w:cs="ArialMT"/>
          <w:color w:val="000000" w:themeColor="text1"/>
          <w:sz w:val="20"/>
          <w:szCs w:val="20"/>
        </w:rPr>
        <w:t>jaką wyrób uzyskał,</w:t>
      </w:r>
    </w:p>
    <w:p w:rsidR="00230951" w:rsidRPr="00A32E57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A32E57">
        <w:rPr>
          <w:rFonts w:ascii="TimesNewRomanPSMT" w:hAnsi="TimesNewRomanPSMT" w:cs="TimesNewRomanPSMT"/>
          <w:color w:val="000000" w:themeColor="text1"/>
          <w:sz w:val="20"/>
          <w:szCs w:val="20"/>
        </w:rPr>
        <w:t xml:space="preserve">- </w:t>
      </w:r>
      <w:r w:rsidRPr="00A32E57">
        <w:rPr>
          <w:rFonts w:ascii="ArialMT" w:hAnsi="ArialMT" w:cs="ArialMT"/>
          <w:color w:val="000000" w:themeColor="text1"/>
          <w:sz w:val="20"/>
          <w:szCs w:val="20"/>
        </w:rPr>
        <w:t>datę produkcji i nr partii,</w:t>
      </w:r>
    </w:p>
    <w:p w:rsidR="00230951" w:rsidRPr="00A32E57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A32E57">
        <w:rPr>
          <w:rFonts w:ascii="TimesNewRomanPSMT" w:hAnsi="TimesNewRomanPSMT" w:cs="TimesNewRomanPSMT"/>
          <w:color w:val="000000" w:themeColor="text1"/>
          <w:sz w:val="20"/>
          <w:szCs w:val="20"/>
        </w:rPr>
        <w:t xml:space="preserve">- </w:t>
      </w:r>
      <w:r w:rsidRPr="00A32E57">
        <w:rPr>
          <w:rFonts w:ascii="ArialMT" w:hAnsi="ArialMT" w:cs="ArialMT"/>
          <w:color w:val="000000" w:themeColor="text1"/>
          <w:sz w:val="20"/>
          <w:szCs w:val="20"/>
        </w:rPr>
        <w:t>numer aprobaty technicznej</w:t>
      </w:r>
      <w:r w:rsidR="00A32E57" w:rsidRPr="00A32E57">
        <w:rPr>
          <w:rFonts w:ascii="ArialMT" w:hAnsi="ArialMT" w:cs="ArialMT"/>
          <w:color w:val="000000" w:themeColor="text1"/>
          <w:sz w:val="20"/>
          <w:szCs w:val="20"/>
        </w:rPr>
        <w:t xml:space="preserve"> lub normy</w:t>
      </w:r>
      <w:r w:rsidRPr="00A32E57">
        <w:rPr>
          <w:rFonts w:ascii="ArialMT" w:hAnsi="ArialMT" w:cs="ArialMT"/>
          <w:color w:val="000000" w:themeColor="text1"/>
          <w:sz w:val="20"/>
          <w:szCs w:val="20"/>
        </w:rPr>
        <w:t>,</w:t>
      </w:r>
    </w:p>
    <w:p w:rsidR="00230951" w:rsidRPr="00A32E57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A32E57">
        <w:rPr>
          <w:rFonts w:ascii="TimesNewRomanPSMT" w:hAnsi="TimesNewRomanPSMT" w:cs="TimesNewRomanPSMT"/>
          <w:color w:val="000000" w:themeColor="text1"/>
          <w:sz w:val="20"/>
          <w:szCs w:val="20"/>
        </w:rPr>
        <w:t xml:space="preserve">- </w:t>
      </w:r>
      <w:r w:rsidRPr="00A32E57">
        <w:rPr>
          <w:rFonts w:ascii="ArialMT" w:hAnsi="ArialMT" w:cs="ArialMT"/>
          <w:color w:val="000000" w:themeColor="text1"/>
          <w:sz w:val="20"/>
          <w:szCs w:val="20"/>
        </w:rPr>
        <w:t>nr certyfikatu na znak bezpieczeństwa,</w:t>
      </w:r>
    </w:p>
    <w:p w:rsidR="00230951" w:rsidRPr="00A32E57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A32E57">
        <w:rPr>
          <w:rFonts w:ascii="TimesNewRomanPSMT" w:hAnsi="TimesNewRomanPSMT" w:cs="TimesNewRomanPSMT"/>
          <w:color w:val="000000" w:themeColor="text1"/>
          <w:sz w:val="20"/>
          <w:szCs w:val="20"/>
        </w:rPr>
        <w:t xml:space="preserve">- </w:t>
      </w:r>
      <w:r w:rsidRPr="00A32E57">
        <w:rPr>
          <w:rFonts w:ascii="ArialMT" w:hAnsi="ArialMT" w:cs="ArialMT"/>
          <w:color w:val="000000" w:themeColor="text1"/>
          <w:sz w:val="20"/>
          <w:szCs w:val="20"/>
        </w:rPr>
        <w:t>znak budowlany.</w:t>
      </w:r>
    </w:p>
    <w:p w:rsidR="00230951" w:rsidRPr="00A32E57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  <w:r w:rsidRPr="00A32E57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4.3. Transport materiałów</w:t>
      </w:r>
    </w:p>
    <w:p w:rsidR="00230951" w:rsidRPr="00A32E57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A32E57">
        <w:rPr>
          <w:rFonts w:ascii="ArialMT" w:hAnsi="ArialMT" w:cs="ArialMT"/>
          <w:color w:val="000000" w:themeColor="text1"/>
          <w:sz w:val="20"/>
          <w:szCs w:val="20"/>
        </w:rPr>
        <w:t>Transport materiałów odbywa się przy w sposób, określony w instrukcji Producenta i dostosowanej</w:t>
      </w:r>
    </w:p>
    <w:p w:rsidR="00230951" w:rsidRPr="00A32E57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A32E57">
        <w:rPr>
          <w:rFonts w:ascii="ArialMT" w:hAnsi="ArialMT" w:cs="ArialMT"/>
          <w:color w:val="000000" w:themeColor="text1"/>
          <w:sz w:val="20"/>
          <w:szCs w:val="20"/>
        </w:rPr>
        <w:t>do polskich przepisów przewozowych, zabezpieczający je przed przesuwaniem podczas jazdy,</w:t>
      </w:r>
    </w:p>
    <w:p w:rsidR="00230951" w:rsidRPr="00A32E57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A32E57">
        <w:rPr>
          <w:rFonts w:ascii="ArialMT" w:hAnsi="ArialMT" w:cs="ArialMT"/>
          <w:color w:val="000000" w:themeColor="text1"/>
          <w:sz w:val="20"/>
          <w:szCs w:val="20"/>
        </w:rPr>
        <w:t>uszkodzeniem mechanicznym, zawilgoceniem i zniszczeniem.</w:t>
      </w:r>
    </w:p>
    <w:p w:rsidR="00230951" w:rsidRPr="00B439B4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  <w:r w:rsidRPr="00B439B4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5. WYKONANIE ROBÓT</w:t>
      </w:r>
    </w:p>
    <w:p w:rsidR="00230951" w:rsidRPr="00B439B4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  <w:r w:rsidRPr="00B439B4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5.1. Ogólne zasady wykonania robót</w:t>
      </w:r>
    </w:p>
    <w:p w:rsidR="00230951" w:rsidRPr="00B439B4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B439B4">
        <w:rPr>
          <w:rFonts w:ascii="ArialMT" w:hAnsi="ArialMT" w:cs="ArialMT"/>
          <w:color w:val="000000" w:themeColor="text1"/>
          <w:sz w:val="20"/>
          <w:szCs w:val="20"/>
        </w:rPr>
        <w:t>Ogólne zasady wykonania robót podano w ST 01 „wymagania Ogólne” pkt.5.</w:t>
      </w:r>
    </w:p>
    <w:p w:rsidR="00230951" w:rsidRPr="00B439B4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  <w:r w:rsidRPr="00B439B4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5.2. Warunki przystąpienia do robót</w:t>
      </w:r>
    </w:p>
    <w:p w:rsidR="00230951" w:rsidRPr="00B439B4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B439B4">
        <w:rPr>
          <w:rFonts w:ascii="ArialMT" w:hAnsi="ArialMT" w:cs="ArialMT"/>
          <w:color w:val="000000" w:themeColor="text1"/>
          <w:sz w:val="20"/>
          <w:szCs w:val="20"/>
        </w:rPr>
        <w:t xml:space="preserve">Przed przystąpieniem do wykonywania podłóg powinny być zakończone wszystkie roboty </w:t>
      </w:r>
      <w:r w:rsidR="00B439B4" w:rsidRPr="00B439B4">
        <w:rPr>
          <w:rFonts w:ascii="ArialMT" w:hAnsi="ArialMT" w:cs="ArialMT"/>
          <w:color w:val="000000" w:themeColor="text1"/>
          <w:sz w:val="20"/>
          <w:szCs w:val="20"/>
        </w:rPr>
        <w:t>związane z rozbiórką istniejącej podłogi</w:t>
      </w:r>
      <w:r w:rsidRPr="00B439B4">
        <w:rPr>
          <w:rFonts w:ascii="ArialMT" w:hAnsi="ArialMT" w:cs="ArialMT"/>
          <w:color w:val="000000" w:themeColor="text1"/>
          <w:sz w:val="20"/>
          <w:szCs w:val="20"/>
        </w:rPr>
        <w:t>.</w:t>
      </w:r>
    </w:p>
    <w:p w:rsidR="00230951" w:rsidRPr="00B439B4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B439B4">
        <w:rPr>
          <w:rFonts w:ascii="ArialMT" w:hAnsi="ArialMT" w:cs="ArialMT"/>
          <w:color w:val="000000" w:themeColor="text1"/>
          <w:sz w:val="20"/>
          <w:szCs w:val="20"/>
        </w:rPr>
        <w:t>Do wykonania podłóg sportowych należy stosować materiały o określonej wilgotności. W czasie</w:t>
      </w:r>
    </w:p>
    <w:p w:rsidR="00230951" w:rsidRPr="00B439B4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B439B4">
        <w:rPr>
          <w:rFonts w:ascii="ArialMT" w:hAnsi="ArialMT" w:cs="ArialMT"/>
          <w:color w:val="000000" w:themeColor="text1"/>
          <w:sz w:val="20"/>
          <w:szCs w:val="20"/>
        </w:rPr>
        <w:t>wbudowywania materiały należy chronić przed zawilgoceniem. Roboty powinny być wykonywane w</w:t>
      </w:r>
    </w:p>
    <w:p w:rsidR="00230951" w:rsidRPr="00B439B4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B439B4">
        <w:rPr>
          <w:rFonts w:ascii="ArialMT" w:hAnsi="ArialMT" w:cs="ArialMT"/>
          <w:color w:val="000000" w:themeColor="text1"/>
          <w:sz w:val="20"/>
          <w:szCs w:val="20"/>
        </w:rPr>
        <w:t>temperaturze dodatniej. Warstwy izolujące winny być wbudowane w sposób uniemożliwiający</w:t>
      </w:r>
    </w:p>
    <w:p w:rsidR="00230951" w:rsidRPr="00B439B4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B439B4">
        <w:rPr>
          <w:rFonts w:ascii="ArialMT" w:hAnsi="ArialMT" w:cs="ArialMT"/>
          <w:color w:val="000000" w:themeColor="text1"/>
          <w:sz w:val="20"/>
          <w:szCs w:val="20"/>
        </w:rPr>
        <w:t>zawilgoceniu parą wodną w czasie użytkowania budynku, bądź z innych źródeł.</w:t>
      </w:r>
    </w:p>
    <w:p w:rsidR="00230951" w:rsidRPr="00B439B4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  <w:r w:rsidRPr="00B439B4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5.3. Montaż podłoża sprężystego</w:t>
      </w:r>
    </w:p>
    <w:p w:rsidR="00230951" w:rsidRPr="00B439B4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  <w:r w:rsidRPr="00B439B4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5.3.1. Roboty przygotowawcze</w:t>
      </w:r>
    </w:p>
    <w:p w:rsidR="00230951" w:rsidRPr="00B439B4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B439B4">
        <w:rPr>
          <w:rFonts w:ascii="ArialMT" w:hAnsi="ArialMT" w:cs="ArialMT"/>
          <w:color w:val="000000" w:themeColor="text1"/>
          <w:sz w:val="20"/>
          <w:szCs w:val="20"/>
        </w:rPr>
        <w:t>Roboty przygotowawcze oraz kompletowanie materiału i sprzętu powinno odbywać się zgodnie ze</w:t>
      </w:r>
    </w:p>
    <w:p w:rsidR="00230951" w:rsidRPr="00B439B4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B439B4">
        <w:rPr>
          <w:rFonts w:ascii="ArialMT" w:hAnsi="ArialMT" w:cs="ArialMT"/>
          <w:color w:val="000000" w:themeColor="text1"/>
          <w:sz w:val="20"/>
          <w:szCs w:val="20"/>
        </w:rPr>
        <w:t xml:space="preserve">specyfikacją podaną </w:t>
      </w:r>
      <w:r w:rsidR="00B439B4" w:rsidRPr="00B439B4">
        <w:rPr>
          <w:rFonts w:ascii="ArialMT" w:hAnsi="ArialMT" w:cs="ArialMT"/>
          <w:color w:val="000000" w:themeColor="text1"/>
          <w:sz w:val="20"/>
          <w:szCs w:val="20"/>
        </w:rPr>
        <w:t>przez producenta systemu</w:t>
      </w:r>
      <w:r w:rsidRPr="00B439B4">
        <w:rPr>
          <w:rFonts w:ascii="ArialMT" w:hAnsi="ArialMT" w:cs="ArialMT"/>
          <w:color w:val="000000" w:themeColor="text1"/>
          <w:sz w:val="20"/>
          <w:szCs w:val="20"/>
        </w:rPr>
        <w:t>.</w:t>
      </w:r>
    </w:p>
    <w:p w:rsidR="00230951" w:rsidRPr="00B439B4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  <w:r w:rsidRPr="00B439B4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5.3.2. Przygotowanie podłoża</w:t>
      </w:r>
    </w:p>
    <w:p w:rsidR="00230951" w:rsidRPr="00B439B4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B439B4">
        <w:rPr>
          <w:rFonts w:ascii="ArialMT" w:hAnsi="ArialMT" w:cs="ArialMT"/>
          <w:color w:val="000000" w:themeColor="text1"/>
          <w:sz w:val="20"/>
          <w:szCs w:val="20"/>
        </w:rPr>
        <w:t>Stan powierzchni podłoża powinien zostać sprawdzony przed przystąpieniem do robót:</w:t>
      </w:r>
    </w:p>
    <w:p w:rsidR="00230951" w:rsidRPr="00B439B4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B439B4">
        <w:rPr>
          <w:rFonts w:ascii="TimesNewRomanPSMT" w:hAnsi="TimesNewRomanPSMT" w:cs="TimesNewRomanPSMT"/>
          <w:color w:val="000000" w:themeColor="text1"/>
          <w:sz w:val="20"/>
          <w:szCs w:val="20"/>
        </w:rPr>
        <w:lastRenderedPageBreak/>
        <w:t xml:space="preserve">- </w:t>
      </w:r>
      <w:r w:rsidRPr="00B439B4">
        <w:rPr>
          <w:rFonts w:ascii="ArialMT" w:hAnsi="ArialMT" w:cs="ArialMT"/>
          <w:color w:val="000000" w:themeColor="text1"/>
          <w:sz w:val="20"/>
          <w:szCs w:val="20"/>
        </w:rPr>
        <w:t>powierzchnia podłoży powinna być równa, bez ubytków i uskoków,</w:t>
      </w:r>
    </w:p>
    <w:p w:rsidR="00230951" w:rsidRPr="00B439B4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B439B4">
        <w:rPr>
          <w:rFonts w:ascii="TimesNewRomanPSMT" w:hAnsi="TimesNewRomanPSMT" w:cs="TimesNewRomanPSMT"/>
          <w:color w:val="000000" w:themeColor="text1"/>
          <w:sz w:val="20"/>
          <w:szCs w:val="20"/>
        </w:rPr>
        <w:t xml:space="preserve">- </w:t>
      </w:r>
      <w:r w:rsidRPr="00B439B4">
        <w:rPr>
          <w:rFonts w:ascii="ArialMT" w:hAnsi="ArialMT" w:cs="ArialMT"/>
          <w:color w:val="000000" w:themeColor="text1"/>
          <w:sz w:val="20"/>
          <w:szCs w:val="20"/>
        </w:rPr>
        <w:t>powierzchnia powinna być oczyszczona z kurzu, luźnych ziaren zaprawy lub betonu,</w:t>
      </w:r>
    </w:p>
    <w:p w:rsidR="00230951" w:rsidRPr="00B439B4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B439B4">
        <w:rPr>
          <w:rFonts w:ascii="TimesNewRomanPSMT" w:hAnsi="TimesNewRomanPSMT" w:cs="TimesNewRomanPSMT"/>
          <w:color w:val="000000" w:themeColor="text1"/>
          <w:sz w:val="20"/>
          <w:szCs w:val="20"/>
        </w:rPr>
        <w:t xml:space="preserve">- </w:t>
      </w:r>
      <w:r w:rsidRPr="00B439B4">
        <w:rPr>
          <w:rFonts w:ascii="ArialMT" w:hAnsi="ArialMT" w:cs="ArialMT"/>
          <w:color w:val="000000" w:themeColor="text1"/>
          <w:sz w:val="20"/>
          <w:szCs w:val="20"/>
        </w:rPr>
        <w:t>pomiar wilgotności podłoża powinien być mierzony przed przystąpieniem do robót podłogowych.</w:t>
      </w:r>
    </w:p>
    <w:p w:rsidR="00230951" w:rsidRPr="00B439B4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  <w:r w:rsidRPr="00B439B4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5.3.3. Montaż warstw konstrukcyjnych podłogi</w:t>
      </w:r>
    </w:p>
    <w:p w:rsidR="00230951" w:rsidRPr="00B439B4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B439B4">
        <w:rPr>
          <w:rFonts w:ascii="ArialMT" w:hAnsi="ArialMT" w:cs="ArialMT"/>
          <w:color w:val="000000" w:themeColor="text1"/>
          <w:sz w:val="20"/>
          <w:szCs w:val="20"/>
        </w:rPr>
        <w:t xml:space="preserve">Temperatura powietrza w której wykonuje się podłogi nie powinna być niższa niż 15 </w:t>
      </w:r>
      <w:proofErr w:type="spellStart"/>
      <w:r w:rsidRPr="00B439B4">
        <w:rPr>
          <w:rFonts w:ascii="ArialMT" w:hAnsi="ArialMT" w:cs="ArialMT"/>
          <w:color w:val="000000" w:themeColor="text1"/>
          <w:sz w:val="12"/>
          <w:szCs w:val="12"/>
        </w:rPr>
        <w:t>o</w:t>
      </w:r>
      <w:r w:rsidRPr="00B439B4">
        <w:rPr>
          <w:rFonts w:ascii="ArialMT" w:hAnsi="ArialMT" w:cs="ArialMT"/>
          <w:color w:val="000000" w:themeColor="text1"/>
          <w:sz w:val="20"/>
          <w:szCs w:val="20"/>
        </w:rPr>
        <w:t>C</w:t>
      </w:r>
      <w:proofErr w:type="spellEnd"/>
      <w:r w:rsidRPr="00B439B4">
        <w:rPr>
          <w:rFonts w:ascii="ArialMT" w:hAnsi="ArialMT" w:cs="ArialMT"/>
          <w:color w:val="000000" w:themeColor="text1"/>
          <w:sz w:val="20"/>
          <w:szCs w:val="20"/>
        </w:rPr>
        <w:t>, a</w:t>
      </w:r>
    </w:p>
    <w:p w:rsidR="00230951" w:rsidRPr="00B439B4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B439B4">
        <w:rPr>
          <w:rFonts w:ascii="ArialMT" w:hAnsi="ArialMT" w:cs="ArialMT"/>
          <w:color w:val="000000" w:themeColor="text1"/>
          <w:sz w:val="20"/>
          <w:szCs w:val="20"/>
        </w:rPr>
        <w:t>wilgotność względna w granicach 45-65%. Wilgotność drewna legarów nie powinna przekraczać</w:t>
      </w:r>
    </w:p>
    <w:p w:rsidR="00230951" w:rsidRPr="00B439B4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B439B4">
        <w:rPr>
          <w:rFonts w:ascii="ArialMT" w:hAnsi="ArialMT" w:cs="ArialMT"/>
          <w:color w:val="000000" w:themeColor="text1"/>
          <w:sz w:val="20"/>
          <w:szCs w:val="20"/>
        </w:rPr>
        <w:t>18%.</w:t>
      </w:r>
    </w:p>
    <w:p w:rsidR="00230951" w:rsidRPr="00FE6803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B439B4">
        <w:rPr>
          <w:rFonts w:ascii="ArialMT" w:hAnsi="ArialMT" w:cs="ArialMT"/>
          <w:color w:val="000000" w:themeColor="text1"/>
          <w:sz w:val="20"/>
          <w:szCs w:val="20"/>
        </w:rPr>
        <w:t>Legary powinny być łączone na długości na nakładkę prostą lub skośną. Złącza sąsiednich legarów</w:t>
      </w:r>
      <w:r w:rsidR="00EF24FE">
        <w:rPr>
          <w:rFonts w:ascii="ArialMT" w:hAnsi="ArialMT" w:cs="ArialMT"/>
          <w:color w:val="000000" w:themeColor="text1"/>
          <w:sz w:val="20"/>
          <w:szCs w:val="20"/>
        </w:rPr>
        <w:t xml:space="preserve"> </w:t>
      </w:r>
      <w:r w:rsidRPr="00B439B4">
        <w:rPr>
          <w:rFonts w:ascii="ArialMT" w:hAnsi="ArialMT" w:cs="ArialMT"/>
          <w:color w:val="000000" w:themeColor="text1"/>
          <w:sz w:val="20"/>
          <w:szCs w:val="20"/>
        </w:rPr>
        <w:t>powinny być przesunięte względem siebie o co najmniej 0,5 m. Legary powinny być</w:t>
      </w:r>
      <w:r w:rsidR="00EF24FE">
        <w:rPr>
          <w:rFonts w:ascii="ArialMT" w:hAnsi="ArialMT" w:cs="ArialMT"/>
          <w:color w:val="000000" w:themeColor="text1"/>
          <w:sz w:val="20"/>
          <w:szCs w:val="20"/>
        </w:rPr>
        <w:t xml:space="preserve"> </w:t>
      </w:r>
      <w:r w:rsidRPr="00B439B4">
        <w:rPr>
          <w:rFonts w:ascii="ArialMT" w:hAnsi="ArialMT" w:cs="ArialMT"/>
          <w:color w:val="000000" w:themeColor="text1"/>
          <w:sz w:val="20"/>
          <w:szCs w:val="20"/>
        </w:rPr>
        <w:t>unieruchomione przez zaklinowanie na końcach lub przez mocowanie do podłoża. System</w:t>
      </w:r>
      <w:r w:rsidR="00EF24FE">
        <w:rPr>
          <w:rFonts w:ascii="ArialMT" w:hAnsi="ArialMT" w:cs="ArialMT"/>
          <w:color w:val="000000" w:themeColor="text1"/>
          <w:sz w:val="20"/>
          <w:szCs w:val="20"/>
        </w:rPr>
        <w:t xml:space="preserve"> </w:t>
      </w:r>
      <w:r w:rsidRPr="00B439B4">
        <w:rPr>
          <w:rFonts w:ascii="ArialMT" w:hAnsi="ArialMT" w:cs="ArialMT"/>
          <w:color w:val="000000" w:themeColor="text1"/>
          <w:sz w:val="20"/>
          <w:szCs w:val="20"/>
        </w:rPr>
        <w:t xml:space="preserve">regulowanego </w:t>
      </w:r>
      <w:proofErr w:type="spellStart"/>
      <w:r w:rsidRPr="00B439B4">
        <w:rPr>
          <w:rFonts w:ascii="ArialMT" w:hAnsi="ArialMT" w:cs="ArialMT"/>
          <w:color w:val="000000" w:themeColor="text1"/>
          <w:sz w:val="20"/>
          <w:szCs w:val="20"/>
        </w:rPr>
        <w:t>legarowania</w:t>
      </w:r>
      <w:proofErr w:type="spellEnd"/>
      <w:r w:rsidRPr="00B439B4">
        <w:rPr>
          <w:rFonts w:ascii="ArialMT" w:hAnsi="ArialMT" w:cs="ArialMT"/>
          <w:color w:val="000000" w:themeColor="text1"/>
          <w:sz w:val="20"/>
          <w:szCs w:val="20"/>
        </w:rPr>
        <w:t xml:space="preserve"> umożliwia skorygowanie nierówności podłoża w skrajnych przypadkach</w:t>
      </w:r>
      <w:r w:rsidR="00EF24FE">
        <w:rPr>
          <w:rFonts w:ascii="ArialMT" w:hAnsi="ArialMT" w:cs="ArialMT"/>
          <w:color w:val="000000" w:themeColor="text1"/>
          <w:sz w:val="20"/>
          <w:szCs w:val="20"/>
        </w:rPr>
        <w:t xml:space="preserve"> </w:t>
      </w:r>
      <w:r w:rsidRPr="006B31E0">
        <w:rPr>
          <w:rFonts w:ascii="ArialMT" w:hAnsi="ArialMT" w:cs="ArialMT"/>
          <w:color w:val="000000" w:themeColor="text1"/>
          <w:sz w:val="20"/>
          <w:szCs w:val="20"/>
        </w:rPr>
        <w:t>nawet do 5 cm. Legary montuje się (indywidualne rozwiązania dla zastosowanego systemu)</w:t>
      </w:r>
      <w:r w:rsidR="00EF24FE">
        <w:rPr>
          <w:rFonts w:ascii="ArialMT" w:hAnsi="ArialMT" w:cs="ArialMT"/>
          <w:color w:val="000000" w:themeColor="text1"/>
          <w:sz w:val="20"/>
          <w:szCs w:val="20"/>
        </w:rPr>
        <w:t xml:space="preserve"> </w:t>
      </w:r>
      <w:r w:rsidRPr="006B31E0">
        <w:rPr>
          <w:rFonts w:ascii="ArialMT" w:hAnsi="ArialMT" w:cs="ArialMT"/>
          <w:color w:val="000000" w:themeColor="text1"/>
          <w:sz w:val="20"/>
          <w:szCs w:val="20"/>
        </w:rPr>
        <w:t>układając luźno (efekt tzw. podłogi pływającej) na podkładkach gumowych przyklejanych do</w:t>
      </w:r>
      <w:r w:rsidR="00EF24FE">
        <w:rPr>
          <w:rFonts w:ascii="ArialMT" w:hAnsi="ArialMT" w:cs="ArialMT"/>
          <w:color w:val="000000" w:themeColor="text1"/>
          <w:sz w:val="20"/>
          <w:szCs w:val="20"/>
        </w:rPr>
        <w:t xml:space="preserve"> </w:t>
      </w:r>
      <w:r w:rsidRPr="006B31E0">
        <w:rPr>
          <w:rFonts w:ascii="ArialMT" w:hAnsi="ArialMT" w:cs="ArialMT"/>
          <w:color w:val="000000" w:themeColor="text1"/>
          <w:sz w:val="20"/>
          <w:szCs w:val="20"/>
        </w:rPr>
        <w:t>podłoża lub mocując do podłoża kotwami rozporowymi za pośrednictwem podkładki elastycznej co</w:t>
      </w:r>
      <w:r w:rsidR="00EF24FE">
        <w:rPr>
          <w:rFonts w:ascii="ArialMT" w:hAnsi="ArialMT" w:cs="ArialMT"/>
          <w:color w:val="000000" w:themeColor="text1"/>
          <w:sz w:val="20"/>
          <w:szCs w:val="20"/>
        </w:rPr>
        <w:t xml:space="preserve"> uniemożliwia kontakt legarów z </w:t>
      </w:r>
      <w:r w:rsidRPr="006B31E0">
        <w:rPr>
          <w:rFonts w:ascii="ArialMT" w:hAnsi="ArialMT" w:cs="ArialMT"/>
          <w:color w:val="000000" w:themeColor="text1"/>
          <w:sz w:val="20"/>
          <w:szCs w:val="20"/>
        </w:rPr>
        <w:t xml:space="preserve">materiałem podłoża. Przed montażem ślepej podłogi </w:t>
      </w:r>
      <w:proofErr w:type="spellStart"/>
      <w:r w:rsidRPr="006B31E0">
        <w:rPr>
          <w:rFonts w:ascii="ArialMT" w:hAnsi="ArialMT" w:cs="ArialMT"/>
          <w:color w:val="000000" w:themeColor="text1"/>
          <w:sz w:val="20"/>
          <w:szCs w:val="20"/>
        </w:rPr>
        <w:t>legarowanie</w:t>
      </w:r>
      <w:proofErr w:type="spellEnd"/>
      <w:r w:rsidR="00EF24FE">
        <w:rPr>
          <w:rFonts w:ascii="ArialMT" w:hAnsi="ArialMT" w:cs="ArialMT"/>
          <w:color w:val="000000" w:themeColor="text1"/>
          <w:sz w:val="20"/>
          <w:szCs w:val="20"/>
        </w:rPr>
        <w:t xml:space="preserve"> </w:t>
      </w:r>
      <w:r w:rsidRPr="006B31E0">
        <w:rPr>
          <w:rFonts w:ascii="ArialMT" w:hAnsi="ArialMT" w:cs="ArialMT"/>
          <w:color w:val="000000" w:themeColor="text1"/>
          <w:sz w:val="20"/>
          <w:szCs w:val="20"/>
        </w:rPr>
        <w:t>powinno zostać wypoziomowane.</w:t>
      </w:r>
      <w:r w:rsidR="00EF24FE">
        <w:rPr>
          <w:rFonts w:ascii="ArialMT" w:hAnsi="ArialMT" w:cs="ArialMT"/>
          <w:color w:val="000000" w:themeColor="text1"/>
          <w:sz w:val="20"/>
          <w:szCs w:val="20"/>
        </w:rPr>
        <w:t xml:space="preserve"> </w:t>
      </w:r>
      <w:r w:rsidRPr="00FE6803">
        <w:rPr>
          <w:rFonts w:ascii="ArialMT" w:hAnsi="ArialMT" w:cs="ArialMT"/>
          <w:color w:val="000000" w:themeColor="text1"/>
          <w:sz w:val="20"/>
          <w:szCs w:val="20"/>
        </w:rPr>
        <w:t>Ślepa podłoga (pełna lub ażurowa w zależności od zastosowanego systemu) mocowana jest do</w:t>
      </w:r>
      <w:r w:rsidR="00EF24FE">
        <w:rPr>
          <w:rFonts w:ascii="ArialMT" w:hAnsi="ArialMT" w:cs="ArialMT"/>
          <w:color w:val="000000" w:themeColor="text1"/>
          <w:sz w:val="20"/>
          <w:szCs w:val="20"/>
        </w:rPr>
        <w:t xml:space="preserve"> </w:t>
      </w:r>
      <w:r w:rsidRPr="00FE6803">
        <w:rPr>
          <w:rFonts w:ascii="ArialMT" w:hAnsi="ArialMT" w:cs="ArialMT"/>
          <w:color w:val="000000" w:themeColor="text1"/>
          <w:sz w:val="20"/>
          <w:szCs w:val="20"/>
        </w:rPr>
        <w:t>legarów wkrętami lub gwoździami. Główki gwoździ lub wkrętów powinny być zagłębione (gwoździ za</w:t>
      </w:r>
      <w:r w:rsidR="00EF24FE">
        <w:rPr>
          <w:rFonts w:ascii="ArialMT" w:hAnsi="ArialMT" w:cs="ArialMT"/>
          <w:color w:val="000000" w:themeColor="text1"/>
          <w:sz w:val="20"/>
          <w:szCs w:val="20"/>
        </w:rPr>
        <w:t xml:space="preserve"> </w:t>
      </w:r>
      <w:r w:rsidRPr="00FE6803">
        <w:rPr>
          <w:rFonts w:ascii="ArialMT" w:hAnsi="ArialMT" w:cs="ArialMT"/>
          <w:color w:val="000000" w:themeColor="text1"/>
          <w:sz w:val="20"/>
          <w:szCs w:val="20"/>
        </w:rPr>
        <w:t>pomocą pobijaka). Łączenie desek powinno następować na legarach. Kolejne łączenia powinny być</w:t>
      </w:r>
      <w:r w:rsidR="00EF24FE">
        <w:rPr>
          <w:rFonts w:ascii="ArialMT" w:hAnsi="ArialMT" w:cs="ArialMT"/>
          <w:color w:val="000000" w:themeColor="text1"/>
          <w:sz w:val="20"/>
          <w:szCs w:val="20"/>
        </w:rPr>
        <w:t xml:space="preserve"> </w:t>
      </w:r>
      <w:r w:rsidRPr="00FE6803">
        <w:rPr>
          <w:rFonts w:ascii="ArialMT" w:hAnsi="ArialMT" w:cs="ArialMT"/>
          <w:color w:val="000000" w:themeColor="text1"/>
          <w:sz w:val="20"/>
          <w:szCs w:val="20"/>
        </w:rPr>
        <w:t>przesunięte względem siebie o co najmniej jeden legar.</w:t>
      </w:r>
      <w:r w:rsidR="00EF24FE">
        <w:rPr>
          <w:rFonts w:ascii="ArialMT" w:hAnsi="ArialMT" w:cs="ArialMT"/>
          <w:color w:val="000000" w:themeColor="text1"/>
          <w:sz w:val="20"/>
          <w:szCs w:val="20"/>
        </w:rPr>
        <w:t xml:space="preserve"> </w:t>
      </w:r>
      <w:r w:rsidRPr="00FE6803">
        <w:rPr>
          <w:rFonts w:ascii="ArialMT" w:hAnsi="ArialMT" w:cs="ArialMT"/>
          <w:color w:val="000000" w:themeColor="text1"/>
          <w:sz w:val="20"/>
          <w:szCs w:val="20"/>
        </w:rPr>
        <w:t>Na ślepej podłodze układana swobodnie izolacja z folii szerokiej. Zakłady folii</w:t>
      </w:r>
      <w:r w:rsidR="00FE6803" w:rsidRPr="00FE6803">
        <w:rPr>
          <w:rFonts w:ascii="ArialMT" w:hAnsi="ArialMT" w:cs="ArialMT"/>
          <w:color w:val="000000" w:themeColor="text1"/>
          <w:sz w:val="20"/>
          <w:szCs w:val="20"/>
        </w:rPr>
        <w:t xml:space="preserve"> </w:t>
      </w:r>
      <w:r w:rsidRPr="00FE6803">
        <w:rPr>
          <w:rFonts w:ascii="ArialMT" w:hAnsi="ArialMT" w:cs="ArialMT"/>
          <w:color w:val="000000" w:themeColor="text1"/>
          <w:sz w:val="20"/>
          <w:szCs w:val="20"/>
        </w:rPr>
        <w:t>powinny być klejone.</w:t>
      </w:r>
      <w:r w:rsidR="00EF24FE">
        <w:rPr>
          <w:rFonts w:ascii="ArialMT" w:hAnsi="ArialMT" w:cs="ArialMT"/>
          <w:color w:val="000000" w:themeColor="text1"/>
          <w:sz w:val="20"/>
          <w:szCs w:val="20"/>
        </w:rPr>
        <w:t xml:space="preserve"> </w:t>
      </w:r>
      <w:r w:rsidRPr="00FE6803">
        <w:rPr>
          <w:rFonts w:ascii="ArialMT" w:hAnsi="ArialMT" w:cs="ArialMT"/>
          <w:color w:val="000000" w:themeColor="text1"/>
          <w:sz w:val="20"/>
          <w:szCs w:val="20"/>
        </w:rPr>
        <w:t>Warstwa rozkładająca obciążenie wykonana z</w:t>
      </w:r>
      <w:r w:rsidR="00FE6803" w:rsidRPr="00FE6803">
        <w:rPr>
          <w:rFonts w:ascii="ArialMT" w:hAnsi="ArialMT" w:cs="ArialMT"/>
          <w:color w:val="000000" w:themeColor="text1"/>
          <w:sz w:val="20"/>
          <w:szCs w:val="20"/>
        </w:rPr>
        <w:t xml:space="preserve"> płyty P5</w:t>
      </w:r>
      <w:r w:rsidRPr="00FE6803">
        <w:rPr>
          <w:rFonts w:ascii="ArialMT" w:hAnsi="ArialMT" w:cs="ArialMT"/>
          <w:color w:val="000000" w:themeColor="text1"/>
          <w:sz w:val="20"/>
          <w:szCs w:val="20"/>
        </w:rPr>
        <w:t>.</w:t>
      </w:r>
    </w:p>
    <w:p w:rsidR="00230951" w:rsidRPr="00FE6803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  <w:r w:rsidRPr="00FE6803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5.4. Warstwa nawierzchniowa</w:t>
      </w:r>
    </w:p>
    <w:p w:rsidR="00230951" w:rsidRPr="00FE6803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  <w:r w:rsidRPr="00FE6803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5.4.1. Nawierzchnie sportow</w:t>
      </w:r>
      <w:r w:rsidR="00FE6803" w:rsidRPr="00FE6803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a</w:t>
      </w:r>
      <w:r w:rsidRPr="00FE6803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 xml:space="preserve"> </w:t>
      </w:r>
      <w:r w:rsidR="00FE6803" w:rsidRPr="00FE6803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 xml:space="preserve">poliuretanowa </w:t>
      </w:r>
      <w:proofErr w:type="spellStart"/>
      <w:r w:rsidR="00FE6803" w:rsidRPr="00FE6803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bezspoinowa</w:t>
      </w:r>
      <w:proofErr w:type="spellEnd"/>
      <w:r w:rsidR="00FE6803" w:rsidRPr="00FE6803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.</w:t>
      </w:r>
    </w:p>
    <w:p w:rsidR="00230951" w:rsidRPr="00FE6803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FE6803">
        <w:rPr>
          <w:rFonts w:ascii="ArialMT" w:hAnsi="ArialMT" w:cs="ArialMT"/>
          <w:color w:val="000000" w:themeColor="text1"/>
          <w:sz w:val="20"/>
          <w:szCs w:val="20"/>
        </w:rPr>
        <w:t>Nawierzchnię sportową należy wykonać po zakończeniu wszystkich robót budowlanych,</w:t>
      </w:r>
    </w:p>
    <w:p w:rsidR="00230951" w:rsidRPr="00FE6803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FE6803">
        <w:rPr>
          <w:rFonts w:ascii="ArialMT" w:hAnsi="ArialMT" w:cs="ArialMT"/>
          <w:color w:val="000000" w:themeColor="text1"/>
          <w:sz w:val="20"/>
          <w:szCs w:val="20"/>
        </w:rPr>
        <w:t>wykończeniowych i instalacyjnych. Pomieszczenia stref, w których wykonuje się posadzki muszą</w:t>
      </w:r>
    </w:p>
    <w:p w:rsidR="00230951" w:rsidRPr="00FE6803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FE6803">
        <w:rPr>
          <w:rFonts w:ascii="ArialMT" w:hAnsi="ArialMT" w:cs="ArialMT"/>
          <w:color w:val="000000" w:themeColor="text1"/>
          <w:sz w:val="20"/>
          <w:szCs w:val="20"/>
        </w:rPr>
        <w:t>być wydzielone i zabezpieczone przed ogólnym dostępem.</w:t>
      </w:r>
    </w:p>
    <w:p w:rsidR="00230951" w:rsidRPr="00FE6803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FE6803">
        <w:rPr>
          <w:rFonts w:ascii="ArialMT" w:hAnsi="ArialMT" w:cs="ArialMT"/>
          <w:color w:val="000000" w:themeColor="text1"/>
          <w:sz w:val="20"/>
          <w:szCs w:val="20"/>
        </w:rPr>
        <w:t>Na przygotowaną konstrukcję wg pkt 5.3.3. ułoży</w:t>
      </w:r>
      <w:r w:rsidR="00FE6803" w:rsidRPr="00FE6803">
        <w:rPr>
          <w:rFonts w:ascii="ArialMT" w:hAnsi="ArialMT" w:cs="ArialMT"/>
          <w:color w:val="000000" w:themeColor="text1"/>
          <w:sz w:val="20"/>
          <w:szCs w:val="20"/>
        </w:rPr>
        <w:t>ć</w:t>
      </w:r>
      <w:r w:rsidRPr="00FE6803">
        <w:rPr>
          <w:rFonts w:ascii="ArialMT" w:hAnsi="ArialMT" w:cs="ArialMT"/>
          <w:color w:val="000000" w:themeColor="text1"/>
          <w:sz w:val="20"/>
          <w:szCs w:val="20"/>
        </w:rPr>
        <w:t xml:space="preserve"> nawierzchnię </w:t>
      </w:r>
      <w:r w:rsidR="00FE6803" w:rsidRPr="00FE6803">
        <w:rPr>
          <w:rFonts w:ascii="ArialMT" w:hAnsi="ArialMT" w:cs="ArialMT"/>
          <w:color w:val="000000" w:themeColor="text1"/>
          <w:sz w:val="20"/>
          <w:szCs w:val="20"/>
        </w:rPr>
        <w:t xml:space="preserve">poliuretanowej </w:t>
      </w:r>
      <w:proofErr w:type="spellStart"/>
      <w:r w:rsidR="00FE6803" w:rsidRPr="00FE6803">
        <w:rPr>
          <w:rFonts w:ascii="ArialMT" w:hAnsi="ArialMT" w:cs="ArialMT"/>
          <w:color w:val="000000" w:themeColor="text1"/>
          <w:sz w:val="20"/>
          <w:szCs w:val="20"/>
        </w:rPr>
        <w:t>bezspoinowej</w:t>
      </w:r>
      <w:proofErr w:type="spellEnd"/>
      <w:r w:rsidR="00FE6803" w:rsidRPr="00FE6803">
        <w:rPr>
          <w:rFonts w:ascii="ArialMT" w:hAnsi="ArialMT" w:cs="ArialMT"/>
          <w:color w:val="000000" w:themeColor="text1"/>
          <w:sz w:val="20"/>
          <w:szCs w:val="20"/>
        </w:rPr>
        <w:t xml:space="preserve"> </w:t>
      </w:r>
      <w:r w:rsidRPr="00FE6803">
        <w:rPr>
          <w:rFonts w:ascii="ArialMT" w:hAnsi="ArialMT" w:cs="ArialMT"/>
          <w:color w:val="000000" w:themeColor="text1"/>
          <w:sz w:val="20"/>
          <w:szCs w:val="20"/>
        </w:rPr>
        <w:t>wg instrukcji</w:t>
      </w:r>
      <w:r w:rsidR="00FE6803" w:rsidRPr="00FE6803">
        <w:rPr>
          <w:rFonts w:ascii="ArialMT" w:hAnsi="ArialMT" w:cs="ArialMT"/>
          <w:color w:val="000000" w:themeColor="text1"/>
          <w:sz w:val="20"/>
          <w:szCs w:val="20"/>
        </w:rPr>
        <w:t xml:space="preserve"> </w:t>
      </w:r>
      <w:r w:rsidRPr="00FE6803">
        <w:rPr>
          <w:rFonts w:ascii="ArialMT" w:hAnsi="ArialMT" w:cs="ArialMT"/>
          <w:color w:val="000000" w:themeColor="text1"/>
          <w:sz w:val="20"/>
          <w:szCs w:val="20"/>
        </w:rPr>
        <w:t>i technologii producenta sportowych podłóg systemowych.</w:t>
      </w:r>
    </w:p>
    <w:p w:rsidR="00230951" w:rsidRPr="00FE6803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  <w:r w:rsidRPr="00FE6803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6. KONTROLA JAKOŚCI ROBÓT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  <w:r w:rsidRPr="00FE6803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6.1. Ogólne zasady kontroli ja</w:t>
      </w:r>
      <w:r w:rsidRPr="00EF24FE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kości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EF24FE">
        <w:rPr>
          <w:rFonts w:ascii="ArialMT" w:hAnsi="ArialMT" w:cs="ArialMT"/>
          <w:color w:val="000000" w:themeColor="text1"/>
          <w:sz w:val="20"/>
          <w:szCs w:val="20"/>
        </w:rPr>
        <w:t>Ogólne zasady kontroli jakości podano w ST 01 „Wymagania ogólne” pkt 6</w:t>
      </w:r>
    </w:p>
    <w:p w:rsidR="00230951" w:rsidRPr="00EF24FE" w:rsidRDefault="00230951" w:rsidP="00EF24FE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  <w:r w:rsidRPr="00EF24FE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6.2. Badania w czasie wykonywania robót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EF24FE">
        <w:rPr>
          <w:rFonts w:ascii="ArialMT" w:hAnsi="ArialMT" w:cs="ArialMT"/>
          <w:color w:val="000000" w:themeColor="text1"/>
          <w:sz w:val="20"/>
          <w:szCs w:val="20"/>
        </w:rPr>
        <w:t>Częstotliwość oraz zakres badań materiałów do wykonania podłóg sportowych powinna być zgodna</w:t>
      </w:r>
      <w:r w:rsidR="00EF24FE">
        <w:rPr>
          <w:rFonts w:ascii="ArialMT" w:hAnsi="ArialMT" w:cs="ArialMT"/>
          <w:color w:val="000000" w:themeColor="text1"/>
          <w:sz w:val="20"/>
          <w:szCs w:val="20"/>
        </w:rPr>
        <w:t xml:space="preserve"> </w:t>
      </w:r>
      <w:r w:rsidRPr="00EF24FE">
        <w:rPr>
          <w:rFonts w:ascii="ArialMT" w:hAnsi="ArialMT" w:cs="ArialMT"/>
          <w:color w:val="000000" w:themeColor="text1"/>
          <w:sz w:val="20"/>
          <w:szCs w:val="20"/>
        </w:rPr>
        <w:t>oraz z Aprobatami Technicznymi ITB wydanymi dla poszczególnych materiałów. Dostarczone na</w:t>
      </w:r>
      <w:r w:rsidR="00EF24FE" w:rsidRPr="00EF24FE">
        <w:rPr>
          <w:rFonts w:ascii="ArialMT" w:hAnsi="ArialMT" w:cs="ArialMT"/>
          <w:color w:val="000000" w:themeColor="text1"/>
          <w:sz w:val="20"/>
          <w:szCs w:val="20"/>
        </w:rPr>
        <w:t xml:space="preserve"> </w:t>
      </w:r>
      <w:r w:rsidRPr="00EF24FE">
        <w:rPr>
          <w:rFonts w:ascii="ArialMT" w:hAnsi="ArialMT" w:cs="ArialMT"/>
          <w:color w:val="000000" w:themeColor="text1"/>
          <w:sz w:val="20"/>
          <w:szCs w:val="20"/>
        </w:rPr>
        <w:t>plac budowy materiały należy kontrolować pod względem ich jakości. Zasady dokonywania takiej</w:t>
      </w:r>
      <w:r w:rsidR="00EF24FE" w:rsidRPr="00EF24FE">
        <w:rPr>
          <w:rFonts w:ascii="ArialMT" w:hAnsi="ArialMT" w:cs="ArialMT"/>
          <w:color w:val="000000" w:themeColor="text1"/>
          <w:sz w:val="20"/>
          <w:szCs w:val="20"/>
        </w:rPr>
        <w:t xml:space="preserve"> </w:t>
      </w:r>
      <w:r w:rsidRPr="00EF24FE">
        <w:rPr>
          <w:rFonts w:ascii="ArialMT" w:hAnsi="ArialMT" w:cs="ArialMT"/>
          <w:color w:val="000000" w:themeColor="text1"/>
          <w:sz w:val="20"/>
          <w:szCs w:val="20"/>
        </w:rPr>
        <w:t>kontroli powinien ustalić kierownik budowy w porozumieniu z Inspektorem nadzoru.</w:t>
      </w:r>
      <w:r w:rsidR="00EF24FE" w:rsidRPr="00EF24FE">
        <w:rPr>
          <w:rFonts w:ascii="ArialMT" w:hAnsi="ArialMT" w:cs="ArialMT"/>
          <w:color w:val="000000" w:themeColor="text1"/>
          <w:sz w:val="20"/>
          <w:szCs w:val="20"/>
        </w:rPr>
        <w:t xml:space="preserve"> </w:t>
      </w:r>
      <w:r w:rsidRPr="00EF24FE">
        <w:rPr>
          <w:rFonts w:ascii="ArialMT" w:hAnsi="ArialMT" w:cs="ArialMT"/>
          <w:color w:val="000000" w:themeColor="text1"/>
          <w:sz w:val="20"/>
          <w:szCs w:val="20"/>
        </w:rPr>
        <w:t>Kontrola jakości polega na sprawdzeniu, czy dostarczone materiały i wyroby mają zaświadczenia o</w:t>
      </w:r>
      <w:r w:rsidR="00EF24FE" w:rsidRPr="00EF24FE">
        <w:rPr>
          <w:rFonts w:ascii="ArialMT" w:hAnsi="ArialMT" w:cs="ArialMT"/>
          <w:color w:val="000000" w:themeColor="text1"/>
          <w:sz w:val="20"/>
          <w:szCs w:val="20"/>
        </w:rPr>
        <w:t xml:space="preserve"> </w:t>
      </w:r>
      <w:r w:rsidRPr="00EF24FE">
        <w:rPr>
          <w:rFonts w:ascii="ArialMT" w:hAnsi="ArialMT" w:cs="ArialMT"/>
          <w:color w:val="000000" w:themeColor="text1"/>
          <w:sz w:val="20"/>
          <w:szCs w:val="20"/>
        </w:rPr>
        <w:t>jakości wystawione przez producenta oraz na sprawdzeniu właściwości technicznych</w:t>
      </w:r>
      <w:r w:rsidR="00EF24FE" w:rsidRPr="00EF24FE">
        <w:rPr>
          <w:rFonts w:ascii="ArialMT" w:hAnsi="ArialMT" w:cs="ArialMT"/>
          <w:color w:val="000000" w:themeColor="text1"/>
          <w:sz w:val="20"/>
          <w:szCs w:val="20"/>
        </w:rPr>
        <w:t xml:space="preserve"> </w:t>
      </w:r>
      <w:r w:rsidRPr="00EF24FE">
        <w:rPr>
          <w:rFonts w:ascii="ArialMT" w:hAnsi="ArialMT" w:cs="ArialMT"/>
          <w:color w:val="000000" w:themeColor="text1"/>
          <w:sz w:val="20"/>
          <w:szCs w:val="20"/>
        </w:rPr>
        <w:t>dostarczonego wyrobu na podstawie tzw. badań doraźnych. Wyniki badań materiałów powinny być</w:t>
      </w:r>
      <w:r w:rsidR="00EF24FE" w:rsidRPr="00EF24FE">
        <w:rPr>
          <w:rFonts w:ascii="ArialMT" w:hAnsi="ArialMT" w:cs="ArialMT"/>
          <w:color w:val="000000" w:themeColor="text1"/>
          <w:sz w:val="20"/>
          <w:szCs w:val="20"/>
        </w:rPr>
        <w:t xml:space="preserve"> </w:t>
      </w:r>
      <w:r w:rsidRPr="00EF24FE">
        <w:rPr>
          <w:rFonts w:ascii="ArialMT" w:hAnsi="ArialMT" w:cs="ArialMT"/>
          <w:color w:val="000000" w:themeColor="text1"/>
          <w:sz w:val="20"/>
          <w:szCs w:val="20"/>
        </w:rPr>
        <w:t>wpisywane do dziennika budowy akceptowane przez Inspektora</w:t>
      </w:r>
      <w:r w:rsidR="00EF24FE" w:rsidRPr="00EF24FE">
        <w:rPr>
          <w:rFonts w:ascii="ArialMT" w:hAnsi="ArialMT" w:cs="ArialMT"/>
          <w:color w:val="000000" w:themeColor="text1"/>
          <w:sz w:val="20"/>
          <w:szCs w:val="20"/>
        </w:rPr>
        <w:t>.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  <w:r w:rsidRPr="00EF24FE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lastRenderedPageBreak/>
        <w:t>7. OBMIAR ROBÓT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  <w:r w:rsidRPr="00EF24FE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7.1. Ogólne zasady obmiaru robót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EF24FE">
        <w:rPr>
          <w:rFonts w:ascii="ArialMT" w:hAnsi="ArialMT" w:cs="ArialMT"/>
          <w:color w:val="000000" w:themeColor="text1"/>
          <w:sz w:val="20"/>
          <w:szCs w:val="20"/>
        </w:rPr>
        <w:t>Ogólne zasady obmiaru robót podano w ST 01 „Wymagania ogólne” pkt 7.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  <w:r w:rsidRPr="00EF24FE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 xml:space="preserve">7.2. Jednostka i zasady </w:t>
      </w:r>
      <w:proofErr w:type="spellStart"/>
      <w:r w:rsidRPr="00EF24FE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obmiarowania</w:t>
      </w:r>
      <w:proofErr w:type="spellEnd"/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EF24FE">
        <w:rPr>
          <w:rFonts w:ascii="ArialMT" w:hAnsi="ArialMT" w:cs="ArialMT"/>
          <w:color w:val="000000" w:themeColor="text1"/>
          <w:sz w:val="20"/>
          <w:szCs w:val="20"/>
        </w:rPr>
        <w:t>Powierzchnię podłóg oblicza się w metrach kwadratowych.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EF24FE">
        <w:rPr>
          <w:rFonts w:ascii="ArialMT" w:hAnsi="ArialMT" w:cs="ArialMT"/>
          <w:color w:val="000000" w:themeColor="text1"/>
          <w:sz w:val="20"/>
          <w:szCs w:val="20"/>
        </w:rPr>
        <w:t>Długość dylatacji oblicza się w metrach bieżących.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EF24FE">
        <w:rPr>
          <w:rFonts w:ascii="ArialMT" w:hAnsi="ArialMT" w:cs="ArialMT"/>
          <w:color w:val="000000" w:themeColor="text1"/>
          <w:sz w:val="20"/>
          <w:szCs w:val="20"/>
        </w:rPr>
        <w:t xml:space="preserve">Zasady </w:t>
      </w:r>
      <w:proofErr w:type="spellStart"/>
      <w:r w:rsidRPr="00EF24FE">
        <w:rPr>
          <w:rFonts w:ascii="ArialMT" w:hAnsi="ArialMT" w:cs="ArialMT"/>
          <w:color w:val="000000" w:themeColor="text1"/>
          <w:sz w:val="20"/>
          <w:szCs w:val="20"/>
        </w:rPr>
        <w:t>obmiarowania</w:t>
      </w:r>
      <w:proofErr w:type="spellEnd"/>
      <w:r w:rsidRPr="00EF24FE">
        <w:rPr>
          <w:rFonts w:ascii="ArialMT" w:hAnsi="ArialMT" w:cs="ArialMT"/>
          <w:color w:val="000000" w:themeColor="text1"/>
          <w:sz w:val="20"/>
          <w:szCs w:val="20"/>
        </w:rPr>
        <w:t xml:space="preserve"> według pkt. 4 Założeń szczegółowych KNR 2-02 Konstrukcje budowlane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EF24FE">
        <w:rPr>
          <w:rFonts w:ascii="ArialMT" w:hAnsi="ArialMT" w:cs="ArialMT"/>
          <w:color w:val="000000" w:themeColor="text1"/>
          <w:sz w:val="20"/>
          <w:szCs w:val="20"/>
        </w:rPr>
        <w:t>Rozdział 11 Podłoża i posadzki.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  <w:r w:rsidRPr="00EF24FE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7.3. Wielkości obmiarowe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EF24FE">
        <w:rPr>
          <w:rFonts w:ascii="ArialMT" w:hAnsi="ArialMT" w:cs="ArialMT"/>
          <w:color w:val="000000" w:themeColor="text1"/>
          <w:sz w:val="20"/>
          <w:szCs w:val="20"/>
        </w:rPr>
        <w:t xml:space="preserve">Wielkości obmiarowe określa się na podstawie </w:t>
      </w:r>
      <w:r w:rsidR="00EF24FE" w:rsidRPr="00EF24FE">
        <w:rPr>
          <w:rFonts w:ascii="ArialMT" w:hAnsi="ArialMT" w:cs="ArialMT"/>
          <w:color w:val="000000" w:themeColor="text1"/>
          <w:sz w:val="20"/>
          <w:szCs w:val="20"/>
        </w:rPr>
        <w:t xml:space="preserve">przedmiaru </w:t>
      </w:r>
      <w:r w:rsidRPr="00EF24FE">
        <w:rPr>
          <w:rFonts w:ascii="ArialMT" w:hAnsi="ArialMT" w:cs="ArialMT"/>
          <w:color w:val="000000" w:themeColor="text1"/>
          <w:sz w:val="20"/>
          <w:szCs w:val="20"/>
        </w:rPr>
        <w:t>z uwzględnieniem zmian</w:t>
      </w:r>
      <w:r w:rsidR="00EF24FE" w:rsidRPr="00EF24FE">
        <w:rPr>
          <w:rFonts w:ascii="ArialMT" w:hAnsi="ArialMT" w:cs="ArialMT"/>
          <w:color w:val="000000" w:themeColor="text1"/>
          <w:sz w:val="20"/>
          <w:szCs w:val="20"/>
        </w:rPr>
        <w:t xml:space="preserve"> </w:t>
      </w:r>
      <w:r w:rsidRPr="00EF24FE">
        <w:rPr>
          <w:rFonts w:ascii="ArialMT" w:hAnsi="ArialMT" w:cs="ArialMT"/>
          <w:color w:val="000000" w:themeColor="text1"/>
          <w:sz w:val="20"/>
          <w:szCs w:val="20"/>
        </w:rPr>
        <w:t>zaakceptowanych przez Inspektora nadzoru i sprawdzonych w naturze.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  <w:r w:rsidRPr="00EF24FE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8. ODBIÓR ROBÓT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  <w:r w:rsidRPr="00EF24FE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8.1. Ogólne zasady odbioru robót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EF24FE">
        <w:rPr>
          <w:rFonts w:ascii="ArialMT" w:hAnsi="ArialMT" w:cs="ArialMT"/>
          <w:color w:val="000000" w:themeColor="text1"/>
          <w:sz w:val="20"/>
          <w:szCs w:val="20"/>
        </w:rPr>
        <w:t>Ogólne zasady odbioru robót podano w ST 01 „Wymagania ogólne” pkt 8.</w:t>
      </w:r>
      <w:r w:rsidR="00EF24FE" w:rsidRPr="00EF24FE">
        <w:rPr>
          <w:rFonts w:ascii="ArialMT" w:hAnsi="ArialMT" w:cs="ArialMT"/>
          <w:color w:val="000000" w:themeColor="text1"/>
          <w:sz w:val="20"/>
          <w:szCs w:val="20"/>
        </w:rPr>
        <w:t xml:space="preserve"> </w:t>
      </w:r>
      <w:r w:rsidRPr="00EF24FE">
        <w:rPr>
          <w:rFonts w:ascii="ArialMT" w:hAnsi="ArialMT" w:cs="ArialMT"/>
          <w:color w:val="000000" w:themeColor="text1"/>
          <w:sz w:val="20"/>
          <w:szCs w:val="20"/>
        </w:rPr>
        <w:t>Odbiór podłoża należy przeprowadzić bezpośrednio przed przystąpieniem do robót podłogowych.</w:t>
      </w:r>
      <w:r w:rsidR="00EF24FE" w:rsidRPr="00EF24FE">
        <w:rPr>
          <w:rFonts w:ascii="ArialMT" w:hAnsi="ArialMT" w:cs="ArialMT"/>
          <w:color w:val="000000" w:themeColor="text1"/>
          <w:sz w:val="20"/>
          <w:szCs w:val="20"/>
        </w:rPr>
        <w:t xml:space="preserve"> </w:t>
      </w:r>
      <w:r w:rsidRPr="00EF24FE">
        <w:rPr>
          <w:rFonts w:ascii="ArialMT" w:hAnsi="ArialMT" w:cs="ArialMT"/>
          <w:color w:val="000000" w:themeColor="text1"/>
          <w:sz w:val="20"/>
          <w:szCs w:val="20"/>
        </w:rPr>
        <w:t>Jeżeli odbiór podłoża odbywa się po dłuższym czasie od jego wykonania, należy podłoże oczyścić i</w:t>
      </w:r>
      <w:r w:rsidR="00EF24FE" w:rsidRPr="00EF24FE">
        <w:rPr>
          <w:rFonts w:ascii="ArialMT" w:hAnsi="ArialMT" w:cs="ArialMT"/>
          <w:color w:val="000000" w:themeColor="text1"/>
          <w:sz w:val="20"/>
          <w:szCs w:val="20"/>
        </w:rPr>
        <w:t xml:space="preserve"> </w:t>
      </w:r>
      <w:r w:rsidRPr="00EF24FE">
        <w:rPr>
          <w:rFonts w:ascii="ArialMT" w:hAnsi="ArialMT" w:cs="ArialMT"/>
          <w:color w:val="000000" w:themeColor="text1"/>
          <w:sz w:val="20"/>
          <w:szCs w:val="20"/>
        </w:rPr>
        <w:t>umyć wodą. Przygotowanie podłoża należy sprawdzić przez przykładanie dwumetrowej łaty</w:t>
      </w:r>
      <w:r w:rsidR="00EF24FE" w:rsidRPr="00EF24FE">
        <w:rPr>
          <w:rFonts w:ascii="ArialMT" w:hAnsi="ArialMT" w:cs="ArialMT"/>
          <w:color w:val="000000" w:themeColor="text1"/>
          <w:sz w:val="20"/>
          <w:szCs w:val="20"/>
        </w:rPr>
        <w:t xml:space="preserve"> </w:t>
      </w:r>
      <w:r w:rsidRPr="00EF24FE">
        <w:rPr>
          <w:rFonts w:ascii="ArialMT" w:hAnsi="ArialMT" w:cs="ArialMT"/>
          <w:color w:val="000000" w:themeColor="text1"/>
          <w:sz w:val="20"/>
          <w:szCs w:val="20"/>
        </w:rPr>
        <w:t>kontrolnej, prześwity należy sprawdzić z dokładnością do 1 mm. Ponadto należy sprawdzić</w:t>
      </w:r>
      <w:r w:rsidR="00EF24FE" w:rsidRPr="00EF24FE">
        <w:rPr>
          <w:rFonts w:ascii="ArialMT" w:hAnsi="ArialMT" w:cs="ArialMT"/>
          <w:color w:val="000000" w:themeColor="text1"/>
          <w:sz w:val="20"/>
          <w:szCs w:val="20"/>
        </w:rPr>
        <w:t xml:space="preserve"> </w:t>
      </w:r>
      <w:r w:rsidRPr="00EF24FE">
        <w:rPr>
          <w:rFonts w:ascii="ArialMT" w:hAnsi="ArialMT" w:cs="ArialMT"/>
          <w:color w:val="000000" w:themeColor="text1"/>
          <w:sz w:val="20"/>
          <w:szCs w:val="20"/>
        </w:rPr>
        <w:t>prawidłowość wykonania szczelin dylatacyjnych, izolacyjnych i przeciwskurczowych.</w:t>
      </w:r>
      <w:r w:rsidR="00EF24FE" w:rsidRPr="00EF24FE">
        <w:rPr>
          <w:rFonts w:ascii="ArialMT" w:hAnsi="ArialMT" w:cs="ArialMT"/>
          <w:color w:val="000000" w:themeColor="text1"/>
          <w:sz w:val="20"/>
          <w:szCs w:val="20"/>
        </w:rPr>
        <w:t xml:space="preserve"> </w:t>
      </w:r>
      <w:r w:rsidRPr="00EF24FE">
        <w:rPr>
          <w:rFonts w:ascii="ArialMT" w:hAnsi="ArialMT" w:cs="ArialMT"/>
          <w:color w:val="000000" w:themeColor="text1"/>
          <w:sz w:val="20"/>
          <w:szCs w:val="20"/>
        </w:rPr>
        <w:t>Przed przystąpieniem do robót należy sprawdzić temperaturę powietrza (10 cm od podkładu w</w:t>
      </w:r>
      <w:r w:rsidR="00EF24FE" w:rsidRPr="00EF24FE">
        <w:rPr>
          <w:rFonts w:ascii="ArialMT" w:hAnsi="ArialMT" w:cs="ArialMT"/>
          <w:color w:val="000000" w:themeColor="text1"/>
          <w:sz w:val="20"/>
          <w:szCs w:val="20"/>
        </w:rPr>
        <w:t xml:space="preserve"> </w:t>
      </w:r>
      <w:r w:rsidRPr="00EF24FE">
        <w:rPr>
          <w:rFonts w:ascii="ArialMT" w:hAnsi="ArialMT" w:cs="ArialMT"/>
          <w:color w:val="000000" w:themeColor="text1"/>
          <w:sz w:val="20"/>
          <w:szCs w:val="20"/>
        </w:rPr>
        <w:t>miejscu najbardziej oddalonym od źródła ciepła). Wilgotność powietrza należy badać w odległości</w:t>
      </w:r>
      <w:r w:rsidR="00EF24FE" w:rsidRPr="00EF24FE">
        <w:rPr>
          <w:rFonts w:ascii="ArialMT" w:hAnsi="ArialMT" w:cs="ArialMT"/>
          <w:color w:val="000000" w:themeColor="text1"/>
          <w:sz w:val="20"/>
          <w:szCs w:val="20"/>
        </w:rPr>
        <w:t xml:space="preserve"> </w:t>
      </w:r>
      <w:r w:rsidRPr="00EF24FE">
        <w:rPr>
          <w:rFonts w:ascii="ArialMT" w:hAnsi="ArialMT" w:cs="ArialMT"/>
          <w:color w:val="000000" w:themeColor="text1"/>
          <w:sz w:val="20"/>
          <w:szCs w:val="20"/>
        </w:rPr>
        <w:t>10 cm od powierzchni podkładu. Wyniki pomiarów temperatury i wilgotności powinny być wpisane</w:t>
      </w:r>
      <w:r w:rsidR="00EF24FE" w:rsidRPr="00EF24FE">
        <w:rPr>
          <w:rFonts w:ascii="ArialMT" w:hAnsi="ArialMT" w:cs="ArialMT"/>
          <w:color w:val="000000" w:themeColor="text1"/>
          <w:sz w:val="20"/>
          <w:szCs w:val="20"/>
        </w:rPr>
        <w:t xml:space="preserve"> </w:t>
      </w:r>
      <w:r w:rsidRPr="00EF24FE">
        <w:rPr>
          <w:rFonts w:ascii="ArialMT" w:hAnsi="ArialMT" w:cs="ArialMT"/>
          <w:color w:val="000000" w:themeColor="text1"/>
          <w:sz w:val="20"/>
          <w:szCs w:val="20"/>
        </w:rPr>
        <w:t>do dziennika budowy.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  <w:r w:rsidRPr="00EF24FE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8.2. Wymagania przy odbiorze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EF24FE">
        <w:rPr>
          <w:rFonts w:ascii="ArialMT" w:hAnsi="ArialMT" w:cs="ArialMT"/>
          <w:color w:val="000000" w:themeColor="text1"/>
          <w:sz w:val="20"/>
          <w:szCs w:val="20"/>
        </w:rPr>
        <w:t>Sprawdzeniu przy odbiorze podlega: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EF24FE">
        <w:rPr>
          <w:rFonts w:ascii="TimesNewRomanPSMT" w:hAnsi="TimesNewRomanPSMT" w:cs="TimesNewRomanPSMT"/>
          <w:color w:val="000000" w:themeColor="text1"/>
          <w:sz w:val="20"/>
          <w:szCs w:val="20"/>
        </w:rPr>
        <w:t xml:space="preserve">- </w:t>
      </w:r>
      <w:r w:rsidRPr="00EF24FE">
        <w:rPr>
          <w:rFonts w:ascii="ArialMT" w:hAnsi="ArialMT" w:cs="ArialMT"/>
          <w:color w:val="000000" w:themeColor="text1"/>
          <w:sz w:val="20"/>
          <w:szCs w:val="20"/>
        </w:rPr>
        <w:t xml:space="preserve">zgodność wykonania </w:t>
      </w:r>
      <w:r w:rsidR="00EF24FE" w:rsidRPr="00EF24FE">
        <w:rPr>
          <w:rFonts w:ascii="ArialMT" w:hAnsi="ArialMT" w:cs="ArialMT"/>
          <w:color w:val="000000" w:themeColor="text1"/>
          <w:sz w:val="20"/>
          <w:szCs w:val="20"/>
        </w:rPr>
        <w:t>z przyjętym systemem</w:t>
      </w:r>
      <w:r w:rsidRPr="00EF24FE">
        <w:rPr>
          <w:rFonts w:ascii="ArialMT" w:hAnsi="ArialMT" w:cs="ArialMT"/>
          <w:color w:val="000000" w:themeColor="text1"/>
          <w:sz w:val="20"/>
          <w:szCs w:val="20"/>
        </w:rPr>
        <w:t>,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EF24FE">
        <w:rPr>
          <w:rFonts w:ascii="TimesNewRomanPSMT" w:hAnsi="TimesNewRomanPSMT" w:cs="TimesNewRomanPSMT"/>
          <w:color w:val="000000" w:themeColor="text1"/>
          <w:sz w:val="20"/>
          <w:szCs w:val="20"/>
        </w:rPr>
        <w:t xml:space="preserve">- </w:t>
      </w:r>
      <w:r w:rsidRPr="00EF24FE">
        <w:rPr>
          <w:rFonts w:ascii="ArialMT" w:hAnsi="ArialMT" w:cs="ArialMT"/>
          <w:color w:val="000000" w:themeColor="text1"/>
          <w:sz w:val="20"/>
          <w:szCs w:val="20"/>
        </w:rPr>
        <w:t>rodzaj zastosowanych materiałów,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EF24FE">
        <w:rPr>
          <w:rFonts w:ascii="TimesNewRomanPSMT" w:hAnsi="TimesNewRomanPSMT" w:cs="TimesNewRomanPSMT"/>
          <w:color w:val="000000" w:themeColor="text1"/>
          <w:sz w:val="20"/>
          <w:szCs w:val="20"/>
        </w:rPr>
        <w:t xml:space="preserve">- </w:t>
      </w:r>
      <w:r w:rsidRPr="00EF24FE">
        <w:rPr>
          <w:rFonts w:ascii="ArialMT" w:hAnsi="ArialMT" w:cs="ArialMT"/>
          <w:color w:val="000000" w:themeColor="text1"/>
          <w:sz w:val="20"/>
          <w:szCs w:val="20"/>
        </w:rPr>
        <w:t>sprawdzenie dotrzymania warunków ogólnych wykonania robót (cieplnych, wilgotnościowych)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EF24FE">
        <w:rPr>
          <w:rFonts w:ascii="ArialMT" w:hAnsi="ArialMT" w:cs="ArialMT"/>
          <w:color w:val="000000" w:themeColor="text1"/>
          <w:sz w:val="20"/>
          <w:szCs w:val="20"/>
        </w:rPr>
        <w:t>na podstawie zapisów w dzienniku budowy,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EF24FE">
        <w:rPr>
          <w:rFonts w:ascii="TimesNewRomanPSMT" w:hAnsi="TimesNewRomanPSMT" w:cs="TimesNewRomanPSMT"/>
          <w:color w:val="000000" w:themeColor="text1"/>
          <w:sz w:val="20"/>
          <w:szCs w:val="20"/>
        </w:rPr>
        <w:t xml:space="preserve">- </w:t>
      </w:r>
      <w:r w:rsidRPr="00EF24FE">
        <w:rPr>
          <w:rFonts w:ascii="ArialMT" w:hAnsi="ArialMT" w:cs="ArialMT"/>
          <w:color w:val="000000" w:themeColor="text1"/>
          <w:sz w:val="20"/>
          <w:szCs w:val="20"/>
        </w:rPr>
        <w:t>sprawdzenie prawidłowości wykonania podkładu i warstw i</w:t>
      </w:r>
      <w:r w:rsidR="00EF24FE" w:rsidRPr="00EF24FE">
        <w:rPr>
          <w:rFonts w:ascii="ArialMT" w:hAnsi="ArialMT" w:cs="ArialMT"/>
          <w:color w:val="000000" w:themeColor="text1"/>
          <w:sz w:val="20"/>
          <w:szCs w:val="20"/>
        </w:rPr>
        <w:t>zolacyjnych na podstawie protoko</w:t>
      </w:r>
      <w:r w:rsidRPr="00EF24FE">
        <w:rPr>
          <w:rFonts w:ascii="ArialMT" w:hAnsi="ArialMT" w:cs="ArialMT"/>
          <w:color w:val="000000" w:themeColor="text1"/>
          <w:sz w:val="20"/>
          <w:szCs w:val="20"/>
        </w:rPr>
        <w:t>łów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EF24FE">
        <w:rPr>
          <w:rFonts w:ascii="ArialMT" w:hAnsi="ArialMT" w:cs="ArialMT"/>
          <w:color w:val="000000" w:themeColor="text1"/>
          <w:sz w:val="20"/>
          <w:szCs w:val="20"/>
        </w:rPr>
        <w:t xml:space="preserve">odbiorów </w:t>
      </w:r>
      <w:r w:rsidR="00EF24FE" w:rsidRPr="00EF24FE">
        <w:rPr>
          <w:rFonts w:ascii="ArialMT" w:hAnsi="ArialMT" w:cs="ArialMT"/>
          <w:color w:val="000000" w:themeColor="text1"/>
          <w:sz w:val="20"/>
          <w:szCs w:val="20"/>
        </w:rPr>
        <w:t xml:space="preserve">robót zanikających </w:t>
      </w:r>
      <w:r w:rsidRPr="00EF24FE">
        <w:rPr>
          <w:rFonts w:ascii="ArialMT" w:hAnsi="ArialMT" w:cs="ArialMT"/>
          <w:color w:val="000000" w:themeColor="text1"/>
          <w:sz w:val="20"/>
          <w:szCs w:val="20"/>
        </w:rPr>
        <w:t>lub na podstawie zapisów w dzienniku budowy.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EF24FE">
        <w:rPr>
          <w:rFonts w:ascii="ArialMT" w:hAnsi="ArialMT" w:cs="ArialMT"/>
          <w:color w:val="000000" w:themeColor="text1"/>
          <w:sz w:val="20"/>
          <w:szCs w:val="20"/>
        </w:rPr>
        <w:t>Odbiór posadzki powinien obejmować: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EF24FE">
        <w:rPr>
          <w:rFonts w:ascii="TimesNewRomanPSMT" w:hAnsi="TimesNewRomanPSMT" w:cs="TimesNewRomanPSMT"/>
          <w:color w:val="000000" w:themeColor="text1"/>
          <w:sz w:val="20"/>
          <w:szCs w:val="20"/>
        </w:rPr>
        <w:t xml:space="preserve">- </w:t>
      </w:r>
      <w:r w:rsidRPr="00EF24FE">
        <w:rPr>
          <w:rFonts w:ascii="ArialMT" w:hAnsi="ArialMT" w:cs="ArialMT"/>
          <w:color w:val="000000" w:themeColor="text1"/>
          <w:sz w:val="20"/>
          <w:szCs w:val="20"/>
        </w:rPr>
        <w:t>sprawdzenie wyglądu zewnętrznego przez ocenę wzrokową,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EF24FE">
        <w:rPr>
          <w:rFonts w:ascii="TimesNewRomanPSMT" w:hAnsi="TimesNewRomanPSMT" w:cs="TimesNewRomanPSMT"/>
          <w:color w:val="000000" w:themeColor="text1"/>
          <w:sz w:val="20"/>
          <w:szCs w:val="20"/>
        </w:rPr>
        <w:t xml:space="preserve">- </w:t>
      </w:r>
      <w:r w:rsidRPr="00EF24FE">
        <w:rPr>
          <w:rFonts w:ascii="ArialMT" w:hAnsi="ArialMT" w:cs="ArialMT"/>
          <w:color w:val="000000" w:themeColor="text1"/>
          <w:sz w:val="20"/>
          <w:szCs w:val="20"/>
        </w:rPr>
        <w:t>sprawdzenie prawidłowości ukształtowania jak wyżej,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EF24FE">
        <w:rPr>
          <w:rFonts w:ascii="TimesNewRomanPSMT" w:hAnsi="TimesNewRomanPSMT" w:cs="TimesNewRomanPSMT"/>
          <w:color w:val="000000" w:themeColor="text1"/>
          <w:sz w:val="20"/>
          <w:szCs w:val="20"/>
        </w:rPr>
        <w:t xml:space="preserve">- </w:t>
      </w:r>
      <w:r w:rsidRPr="00EF24FE">
        <w:rPr>
          <w:rFonts w:ascii="ArialMT" w:hAnsi="ArialMT" w:cs="ArialMT"/>
          <w:color w:val="000000" w:themeColor="text1"/>
          <w:sz w:val="20"/>
          <w:szCs w:val="20"/>
        </w:rPr>
        <w:t>sprawdzenie tolerancji dopuszczalnych tj. nie przekraczających 1 mm na długości łaty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EF24FE">
        <w:rPr>
          <w:rFonts w:ascii="ArialMT" w:hAnsi="ArialMT" w:cs="ArialMT"/>
          <w:color w:val="000000" w:themeColor="text1"/>
          <w:sz w:val="20"/>
          <w:szCs w:val="20"/>
        </w:rPr>
        <w:t>kontrolnej długości 2 m.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EF24FE">
        <w:rPr>
          <w:rFonts w:ascii="TimesNewRomanPSMT" w:hAnsi="TimesNewRomanPSMT" w:cs="TimesNewRomanPSMT"/>
          <w:color w:val="000000" w:themeColor="text1"/>
          <w:sz w:val="20"/>
          <w:szCs w:val="20"/>
        </w:rPr>
        <w:t xml:space="preserve">- </w:t>
      </w:r>
      <w:r w:rsidRPr="00EF24FE">
        <w:rPr>
          <w:rFonts w:ascii="ArialMT" w:hAnsi="ArialMT" w:cs="ArialMT"/>
          <w:color w:val="000000" w:themeColor="text1"/>
          <w:sz w:val="20"/>
          <w:szCs w:val="20"/>
        </w:rPr>
        <w:t>sprawdzenie połączenia posadzki z podkładem przez oględziny, opukiwanie i naciskanie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EF24FE">
        <w:rPr>
          <w:rFonts w:ascii="ArialMT" w:hAnsi="ArialMT" w:cs="ArialMT"/>
          <w:color w:val="000000" w:themeColor="text1"/>
          <w:sz w:val="20"/>
          <w:szCs w:val="20"/>
        </w:rPr>
        <w:t>posadzki z paneli drewnianych,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EF24FE">
        <w:rPr>
          <w:rFonts w:ascii="TimesNewRomanPSMT" w:hAnsi="TimesNewRomanPSMT" w:cs="TimesNewRomanPSMT"/>
          <w:color w:val="000000" w:themeColor="text1"/>
          <w:sz w:val="20"/>
          <w:szCs w:val="20"/>
        </w:rPr>
        <w:t xml:space="preserve">- </w:t>
      </w:r>
      <w:r w:rsidRPr="00EF24FE">
        <w:rPr>
          <w:rFonts w:ascii="ArialMT" w:hAnsi="ArialMT" w:cs="ArialMT"/>
          <w:color w:val="000000" w:themeColor="text1"/>
          <w:sz w:val="20"/>
          <w:szCs w:val="20"/>
        </w:rPr>
        <w:t>sprawdzenie grubości posadzki na podstawie pomiarów wykonywanych w trakcie układania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EF24FE">
        <w:rPr>
          <w:rFonts w:ascii="ArialMT" w:hAnsi="ArialMT" w:cs="ArialMT"/>
          <w:color w:val="000000" w:themeColor="text1"/>
          <w:sz w:val="20"/>
          <w:szCs w:val="20"/>
        </w:rPr>
        <w:t>posadzki,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EF24FE">
        <w:rPr>
          <w:rFonts w:ascii="TimesNewRomanPSMT" w:hAnsi="TimesNewRomanPSMT" w:cs="TimesNewRomanPSMT"/>
          <w:color w:val="000000" w:themeColor="text1"/>
          <w:sz w:val="20"/>
          <w:szCs w:val="20"/>
        </w:rPr>
        <w:t xml:space="preserve">- </w:t>
      </w:r>
      <w:r w:rsidRPr="00EF24FE">
        <w:rPr>
          <w:rFonts w:ascii="ArialMT" w:hAnsi="ArialMT" w:cs="ArialMT"/>
          <w:color w:val="000000" w:themeColor="text1"/>
          <w:sz w:val="20"/>
          <w:szCs w:val="20"/>
        </w:rPr>
        <w:t>sprawdzenie prawidłowości osadzenia w posadzce elementów montażowych wyposażenia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EF24FE">
        <w:rPr>
          <w:rFonts w:ascii="ArialMT" w:hAnsi="ArialMT" w:cs="ArialMT"/>
          <w:color w:val="000000" w:themeColor="text1"/>
          <w:sz w:val="20"/>
          <w:szCs w:val="20"/>
        </w:rPr>
        <w:lastRenderedPageBreak/>
        <w:t>sportowego przez oględziny,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EF24FE">
        <w:rPr>
          <w:rFonts w:ascii="TimesNewRomanPSMT" w:hAnsi="TimesNewRomanPSMT" w:cs="TimesNewRomanPSMT"/>
          <w:color w:val="000000" w:themeColor="text1"/>
          <w:sz w:val="20"/>
          <w:szCs w:val="20"/>
        </w:rPr>
        <w:t xml:space="preserve">- </w:t>
      </w:r>
      <w:r w:rsidRPr="00EF24FE">
        <w:rPr>
          <w:rFonts w:ascii="ArialMT" w:hAnsi="ArialMT" w:cs="ArialMT"/>
          <w:color w:val="000000" w:themeColor="text1"/>
          <w:sz w:val="20"/>
          <w:szCs w:val="20"/>
        </w:rPr>
        <w:t>sprawdzenie prawidłowości wykonania styków materiałów posadzkowych, badania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EF24FE">
        <w:rPr>
          <w:rFonts w:ascii="ArialMT" w:hAnsi="ArialMT" w:cs="ArialMT"/>
          <w:color w:val="000000" w:themeColor="text1"/>
          <w:sz w:val="20"/>
          <w:szCs w:val="20"/>
        </w:rPr>
        <w:t>prostoliniowości i pomiaru odchyleń z dokładnością do 1 mm.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EF24FE">
        <w:rPr>
          <w:rFonts w:ascii="TimesNewRomanPSMT" w:hAnsi="TimesNewRomanPSMT" w:cs="TimesNewRomanPSMT"/>
          <w:color w:val="000000" w:themeColor="text1"/>
          <w:sz w:val="20"/>
          <w:szCs w:val="20"/>
        </w:rPr>
        <w:t xml:space="preserve">- </w:t>
      </w:r>
      <w:r w:rsidRPr="00EF24FE">
        <w:rPr>
          <w:rFonts w:ascii="ArialMT" w:hAnsi="ArialMT" w:cs="ArialMT"/>
          <w:color w:val="000000" w:themeColor="text1"/>
          <w:sz w:val="20"/>
          <w:szCs w:val="20"/>
        </w:rPr>
        <w:t>sprawdzenie wykończenia posadzki i prawidłowości zamocowania cokołów podłogowych przez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EF24FE">
        <w:rPr>
          <w:rFonts w:ascii="ArialMT" w:hAnsi="ArialMT" w:cs="ArialMT"/>
          <w:color w:val="000000" w:themeColor="text1"/>
          <w:sz w:val="20"/>
          <w:szCs w:val="20"/>
        </w:rPr>
        <w:t>oględziny.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  <w:r w:rsidRPr="00EF24FE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9. PODSTAWA PŁATNOŚCI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  <w:r w:rsidRPr="00EF24FE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9.1. Ogólne zasady dotyczące podstaw płatności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EF24FE">
        <w:rPr>
          <w:rFonts w:ascii="ArialMT" w:hAnsi="ArialMT" w:cs="ArialMT"/>
          <w:color w:val="000000" w:themeColor="text1"/>
          <w:sz w:val="20"/>
          <w:szCs w:val="20"/>
        </w:rPr>
        <w:t xml:space="preserve">Ogólne zasady dotyczące podstaw płatności podano w </w:t>
      </w:r>
      <w:proofErr w:type="spellStart"/>
      <w:r w:rsidRPr="00EF24FE">
        <w:rPr>
          <w:rFonts w:ascii="ArialMT" w:hAnsi="ArialMT" w:cs="ArialMT"/>
          <w:color w:val="000000" w:themeColor="text1"/>
          <w:sz w:val="20"/>
          <w:szCs w:val="20"/>
        </w:rPr>
        <w:t>w</w:t>
      </w:r>
      <w:proofErr w:type="spellEnd"/>
      <w:r w:rsidRPr="00EF24FE">
        <w:rPr>
          <w:rFonts w:ascii="ArialMT" w:hAnsi="ArialMT" w:cs="ArialMT"/>
          <w:color w:val="000000" w:themeColor="text1"/>
          <w:sz w:val="20"/>
          <w:szCs w:val="20"/>
        </w:rPr>
        <w:t xml:space="preserve"> ST 01 „Wymagania ogólne” pkt 9.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  <w:r w:rsidRPr="00EF24FE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10. DOKUMENTY ODNIESIENIA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  <w:r w:rsidRPr="00EF24FE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10.1. Normy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EF24FE">
        <w:rPr>
          <w:rFonts w:ascii="ArialMT" w:hAnsi="ArialMT" w:cs="ArialMT"/>
          <w:color w:val="000000" w:themeColor="text1"/>
          <w:sz w:val="20"/>
          <w:szCs w:val="20"/>
        </w:rPr>
        <w:t>PN-EN 10230-1:2003 Gwoździe z drutu stalowego. Część 1: Gwoździe ogólnego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EF24FE">
        <w:rPr>
          <w:rFonts w:ascii="ArialMT" w:hAnsi="ArialMT" w:cs="ArialMT"/>
          <w:color w:val="000000" w:themeColor="text1"/>
          <w:sz w:val="20"/>
          <w:szCs w:val="20"/>
        </w:rPr>
        <w:t>przeznaczenia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EF24FE">
        <w:rPr>
          <w:rFonts w:ascii="ArialMT" w:hAnsi="ArialMT" w:cs="ArialMT"/>
          <w:color w:val="000000" w:themeColor="text1"/>
          <w:sz w:val="20"/>
          <w:szCs w:val="20"/>
        </w:rPr>
        <w:t>PN-85/M-82503 Wkręty do drewna ze łbem stożkowym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EF24FE">
        <w:rPr>
          <w:rFonts w:ascii="ArialMT" w:hAnsi="ArialMT" w:cs="ArialMT"/>
          <w:color w:val="000000" w:themeColor="text1"/>
          <w:sz w:val="20"/>
          <w:szCs w:val="20"/>
        </w:rPr>
        <w:t>PN-91/M-82054.19 Śruby, wkręty i nakrętki. Statystyczna kontrola jakości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EF24FE">
        <w:rPr>
          <w:rFonts w:ascii="ArialMT" w:hAnsi="ArialMT" w:cs="ArialMT"/>
          <w:color w:val="000000" w:themeColor="text1"/>
          <w:sz w:val="20"/>
          <w:szCs w:val="20"/>
        </w:rPr>
        <w:t>PN-EN ISO 15482:2002 Wkręty wiercące samogwintujące z łbem stożkowym z wgłębieniem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EF24FE">
        <w:rPr>
          <w:rFonts w:ascii="ArialMT" w:hAnsi="ArialMT" w:cs="ArialMT"/>
          <w:color w:val="000000" w:themeColor="text1"/>
          <w:sz w:val="20"/>
          <w:szCs w:val="20"/>
        </w:rPr>
        <w:t>Krzyżowym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EF24FE">
        <w:rPr>
          <w:rFonts w:ascii="ArialMT" w:hAnsi="ArialMT" w:cs="ArialMT"/>
          <w:color w:val="000000" w:themeColor="text1"/>
          <w:sz w:val="20"/>
          <w:szCs w:val="20"/>
        </w:rPr>
        <w:t>PN-EN 1313-1:2002 Drewno okrągłe i tarcica. Dopuszczalne odchyłki i wymiary zalecane.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EF24FE">
        <w:rPr>
          <w:rFonts w:ascii="ArialMT" w:hAnsi="ArialMT" w:cs="ArialMT"/>
          <w:color w:val="000000" w:themeColor="text1"/>
          <w:sz w:val="20"/>
          <w:szCs w:val="20"/>
        </w:rPr>
        <w:t>Część 1: Tarcica iglasta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EF24FE">
        <w:rPr>
          <w:rFonts w:ascii="ArialMT" w:hAnsi="ArialMT" w:cs="ArialMT"/>
          <w:color w:val="000000" w:themeColor="text1"/>
          <w:sz w:val="20"/>
          <w:szCs w:val="20"/>
        </w:rPr>
        <w:t>PN-75/D-96000 Tarcica iglasta ogólnego przeznaczenia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EF24FE">
        <w:rPr>
          <w:rFonts w:ascii="ArialMT" w:hAnsi="ArialMT" w:cs="ArialMT"/>
          <w:color w:val="000000" w:themeColor="text1"/>
          <w:sz w:val="20"/>
          <w:szCs w:val="20"/>
        </w:rPr>
        <w:t>PN-EN 12369-1:2002 Płyty drewnopochodne. Wartości charakterystyczne do projektowania.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EF24FE">
        <w:rPr>
          <w:rFonts w:ascii="ArialMT" w:hAnsi="ArialMT" w:cs="ArialMT"/>
          <w:color w:val="000000" w:themeColor="text1"/>
          <w:sz w:val="20"/>
          <w:szCs w:val="20"/>
        </w:rPr>
        <w:t>Część 1: Płyty OSB, płyty wiórowe i płyty pilśniowe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EF24FE">
        <w:rPr>
          <w:rFonts w:ascii="ArialMT" w:hAnsi="ArialMT" w:cs="ArialMT"/>
          <w:color w:val="000000" w:themeColor="text1"/>
          <w:sz w:val="20"/>
          <w:szCs w:val="20"/>
        </w:rPr>
        <w:t>PN-EN 205:2004 (U) Kleje. Kleje do drewna przeznaczone do połączeń nie konstrukcyjnych.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EF24FE">
        <w:rPr>
          <w:rFonts w:ascii="ArialMT" w:hAnsi="ArialMT" w:cs="ArialMT"/>
          <w:color w:val="000000" w:themeColor="text1"/>
          <w:sz w:val="20"/>
          <w:szCs w:val="20"/>
        </w:rPr>
        <w:t>Oznaczanie wytrzymałości na ścinanie spoiny klejowej w połączeniach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EF24FE">
        <w:rPr>
          <w:rFonts w:ascii="ArialMT" w:hAnsi="ArialMT" w:cs="ArialMT"/>
          <w:color w:val="000000" w:themeColor="text1"/>
          <w:sz w:val="20"/>
          <w:szCs w:val="20"/>
        </w:rPr>
        <w:t>zakładkowych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EF24FE">
        <w:rPr>
          <w:rFonts w:ascii="ArialMT" w:hAnsi="ArialMT" w:cs="ArialMT"/>
          <w:color w:val="000000" w:themeColor="text1"/>
          <w:sz w:val="20"/>
          <w:szCs w:val="20"/>
        </w:rPr>
        <w:t>BN-84/6755-08 Materiały do izolacji termicznej i akustycznej. Wyroby z wełny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EF24FE">
        <w:rPr>
          <w:rFonts w:ascii="ArialMT" w:hAnsi="ArialMT" w:cs="ArialMT"/>
          <w:color w:val="000000" w:themeColor="text1"/>
          <w:sz w:val="20"/>
          <w:szCs w:val="20"/>
        </w:rPr>
        <w:t>mineralnej. Filce i płyty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EF24FE">
        <w:rPr>
          <w:rFonts w:ascii="ArialMT" w:hAnsi="ArialMT" w:cs="ArialMT"/>
          <w:color w:val="000000" w:themeColor="text1"/>
          <w:sz w:val="20"/>
          <w:szCs w:val="20"/>
        </w:rPr>
        <w:t>PN-93/B-02862 Odporność ogniowa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EF24FE">
        <w:rPr>
          <w:rFonts w:ascii="ArialMT" w:hAnsi="ArialMT" w:cs="ArialMT"/>
          <w:color w:val="000000" w:themeColor="text1"/>
          <w:sz w:val="20"/>
          <w:szCs w:val="20"/>
        </w:rPr>
        <w:t>Norma ISO Seria 9000, 9001, 9002, 9003, 9004 Normy dotyczące systemów</w:t>
      </w:r>
    </w:p>
    <w:p w:rsidR="00230951" w:rsidRPr="00EF24FE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EF24FE">
        <w:rPr>
          <w:rFonts w:ascii="ArialMT" w:hAnsi="ArialMT" w:cs="ArialMT"/>
          <w:color w:val="000000" w:themeColor="text1"/>
          <w:sz w:val="20"/>
          <w:szCs w:val="20"/>
        </w:rPr>
        <w:t>zapewnienia jakości i zarządzania systemami zapewnienia jakości.</w:t>
      </w:r>
    </w:p>
    <w:p w:rsidR="00230951" w:rsidRPr="00420BCC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</w:pPr>
      <w:r w:rsidRPr="00420BCC">
        <w:rPr>
          <w:rFonts w:ascii="Arial-BoldMT" w:hAnsi="Arial-BoldMT" w:cs="Arial-BoldMT"/>
          <w:b/>
          <w:bCs/>
          <w:color w:val="000000" w:themeColor="text1"/>
          <w:sz w:val="20"/>
          <w:szCs w:val="20"/>
        </w:rPr>
        <w:t>10.2. Inne dokumenty i instrukcje</w:t>
      </w:r>
    </w:p>
    <w:p w:rsidR="00230951" w:rsidRPr="00420BCC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420BCC">
        <w:rPr>
          <w:rFonts w:ascii="ArialMT" w:hAnsi="ArialMT" w:cs="ArialMT"/>
          <w:color w:val="000000" w:themeColor="text1"/>
          <w:sz w:val="20"/>
          <w:szCs w:val="20"/>
        </w:rPr>
        <w:t>1. Instrukcja montażu podłóg sportowych wydane dla zastosowanego systemu wg zaleceń</w:t>
      </w:r>
    </w:p>
    <w:p w:rsidR="00230951" w:rsidRPr="00420BCC" w:rsidRDefault="00230951" w:rsidP="006B31E0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color w:val="000000" w:themeColor="text1"/>
          <w:sz w:val="20"/>
          <w:szCs w:val="20"/>
        </w:rPr>
      </w:pPr>
      <w:r w:rsidRPr="00420BCC">
        <w:rPr>
          <w:rFonts w:ascii="ArialMT" w:hAnsi="ArialMT" w:cs="ArialMT"/>
          <w:color w:val="000000" w:themeColor="text1"/>
          <w:sz w:val="20"/>
          <w:szCs w:val="20"/>
        </w:rPr>
        <w:t>producenta systemu</w:t>
      </w:r>
      <w:bookmarkStart w:id="0" w:name="_GoBack"/>
      <w:bookmarkEnd w:id="0"/>
    </w:p>
    <w:sectPr w:rsidR="00230951" w:rsidRPr="00420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77444"/>
    <w:multiLevelType w:val="hybridMultilevel"/>
    <w:tmpl w:val="62526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51"/>
    <w:rsid w:val="00230951"/>
    <w:rsid w:val="002F0B9F"/>
    <w:rsid w:val="00420BCC"/>
    <w:rsid w:val="00515A80"/>
    <w:rsid w:val="006B31E0"/>
    <w:rsid w:val="00851AE1"/>
    <w:rsid w:val="008D0362"/>
    <w:rsid w:val="00A32E57"/>
    <w:rsid w:val="00B22BE3"/>
    <w:rsid w:val="00B439B4"/>
    <w:rsid w:val="00B65E7B"/>
    <w:rsid w:val="00B677E8"/>
    <w:rsid w:val="00CC2D6C"/>
    <w:rsid w:val="00DA1077"/>
    <w:rsid w:val="00EF24FE"/>
    <w:rsid w:val="00FE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10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1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7</Pages>
  <Words>2114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6</cp:revision>
  <dcterms:created xsi:type="dcterms:W3CDTF">2020-04-01T09:51:00Z</dcterms:created>
  <dcterms:modified xsi:type="dcterms:W3CDTF">2020-04-02T15:35:00Z</dcterms:modified>
</cp:coreProperties>
</file>