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44" w:rsidRDefault="000E2044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zadane pytania Nr 1.</w:t>
      </w:r>
    </w:p>
    <w:p w:rsidR="000E2044" w:rsidRDefault="000E2044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RMKG-XII.271.2.2019</w:t>
      </w:r>
    </w:p>
    <w:p w:rsidR="000E2044" w:rsidRDefault="000E2044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44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przetargowego prowadzonego w trybie przetargu nieograniczonego </w:t>
      </w:r>
      <w:r w:rsidR="000E2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044" w:rsidRPr="00344235" w:rsidRDefault="000E2044" w:rsidP="0034423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na zadanie  </w:t>
      </w:r>
      <w:r w:rsidRPr="003442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</w:t>
      </w:r>
      <w:r w:rsidR="00DE1237"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Przebudowa i wyposażenie oraz zagospodarowanie terenów </w:t>
      </w:r>
      <w:r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</w:t>
      </w:r>
    </w:p>
    <w:p w:rsidR="00344235" w:rsidRDefault="000E2044" w:rsidP="0034423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</w:t>
      </w:r>
      <w:r w:rsidR="00344235"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DE1237"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przyległych z przeznaczeniem na teren rekreacji sportowej Samorządowego </w:t>
      </w:r>
      <w:r w:rsid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</w:t>
      </w:r>
    </w:p>
    <w:p w:rsidR="00DE1237" w:rsidRPr="00344235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</w:t>
      </w:r>
      <w:r w:rsidR="00DE1237"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Zespołu</w:t>
      </w:r>
      <w:r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DE1237" w:rsidRPr="003442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Szkół Nr 2 w Opatowie.</w:t>
      </w:r>
    </w:p>
    <w:p w:rsidR="00DE1237" w:rsidRDefault="000E2044" w:rsidP="0034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E1237" w:rsidRPr="00F26235" w:rsidRDefault="00344235" w:rsidP="00F2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E1237"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4235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344235" w:rsidRPr="00344235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ogłasza ponownie postępowanie o zakresie robót bez zmian względem pierwszego.</w:t>
      </w:r>
      <w:r w:rsidR="00344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związku z tym</w:t>
      </w:r>
      <w:r w:rsidR="00344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zwiększył budżet?</w:t>
      </w:r>
      <w:r w:rsidR="00344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 to jaki jest budżet do przedmiotowego zamówienia?</w:t>
      </w:r>
    </w:p>
    <w:p w:rsidR="00344235" w:rsidRPr="00A405E0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</w:p>
    <w:p w:rsidR="00DE1237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zwiększył budżetu.</w:t>
      </w:r>
      <w:r w:rsidR="00DE1237"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4235" w:rsidRPr="00DE1237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237" w:rsidRPr="00344235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</w:p>
    <w:p w:rsidR="00DE1237" w:rsidRPr="00DE1237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 podaje dane dot. kryterium oceny ofert:</w:t>
      </w:r>
    </w:p>
    <w:p w:rsidR="00DE1237" w:rsidRPr="00DE1237" w:rsidRDefault="00DE1237" w:rsidP="00344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noProof/>
        </w:rPr>
        <w:drawing>
          <wp:inline distT="0" distB="0" distL="0" distR="0">
            <wp:extent cx="4352925" cy="2286000"/>
            <wp:effectExtent l="0" t="0" r="9525" b="0"/>
            <wp:docPr id="4" name="Obraz 4" descr="C:\Users\Zaczkiewicz\AppData\Local\Microsoft\Windows\INetCache\Content.MSO\CD4359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czkiewicz\AppData\Local\Microsoft\Windows\INetCache\Content.MSO\CD43595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37" w:rsidRDefault="00DE1237" w:rsidP="00344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minimalny okres gwarancji wynosi 2 lata to znaczy, że nie jest punktowany a zatem jeśli za każdy rok Zamawiający przyznaje 10 punktów to maksymalna wartość punktów za okres 5 lat będzie wynosił 30 pkt a nie 40 jak powinno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być.W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powyższym wnosimy o stosowną korektę SIWZ w ww. zakresie.</w:t>
      </w:r>
    </w:p>
    <w:p w:rsidR="00344235" w:rsidRPr="00A405E0" w:rsidRDefault="00344235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DE1237" w:rsidRPr="00DE1237" w:rsidRDefault="00344235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2 lata to 10 pkt i za każdy dodatkowy rok 10 pkt.</w:t>
      </w:r>
    </w:p>
    <w:p w:rsidR="00344235" w:rsidRDefault="00344235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237" w:rsidRPr="00344235" w:rsidRDefault="00344235" w:rsidP="0034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344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DE1237" w:rsidRPr="00DE1237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udostępnił danych nawierzchni starej i nowej dla ZS1.</w:t>
      </w:r>
    </w:p>
    <w:p w:rsidR="00DE1237" w:rsidRPr="00DE1237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podanie:</w:t>
      </w:r>
    </w:p>
    <w:p w:rsidR="00DE1237" w:rsidRPr="00DE1237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wysokości włókien istniejącej trawy sztucznej</w:t>
      </w:r>
    </w:p>
    <w:p w:rsidR="00DE1237" w:rsidRPr="00DE1237" w:rsidRDefault="00DE1237" w:rsidP="0034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przeznaczenia boiska, ilości linii boisk</w:t>
      </w:r>
    </w:p>
    <w:p w:rsid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rodzaju parametrów istniejącej podbudowy. </w:t>
      </w:r>
    </w:p>
    <w:p w:rsidR="00A405E0" w:rsidRP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dokonać pomiaru trawy sztucznej z natury. Przeznaczenie boiska i ilość linii boiska zgodnie z dokumentacją. Podbudowa z kruszyw mineralnych.</w:t>
      </w:r>
    </w:p>
    <w:p w:rsid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</w:p>
    <w:p w:rsidR="00DE1237" w:rsidRPr="00A405E0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PZT dla ZS2 podaje w pkt. 7:</w:t>
      </w:r>
    </w:p>
    <w:p w:rsidR="00DE1237" w:rsidRPr="00DE1237" w:rsidRDefault="00DE1237" w:rsidP="00A405E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Projektowane zagospodarowanie działki</w:t>
      </w:r>
      <w:r w:rsidR="00A40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E1237" w:rsidRPr="00DE1237" w:rsidRDefault="00DE1237" w:rsidP="00A405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boiska z dostosowaniem do wielofunkcyjnego o nawierzchni poliuretanowej 24x11=264m</w:t>
      </w:r>
      <w:r w:rsidRPr="00DE1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1237" w:rsidRPr="00DE1237" w:rsidRDefault="00DE1237" w:rsidP="00A405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istniejącego dojścia do elementów sportowych 30x2=60m</w:t>
      </w:r>
      <w:r w:rsidRPr="00DE1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1237" w:rsidRPr="00DE1237" w:rsidRDefault="00DE1237" w:rsidP="00A405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modernizowana istniejąca bieżnia z wykonaniem nawierzchni poliuretanowej 75x4=300m</w:t>
      </w:r>
      <w:r w:rsidRPr="00DE1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1237" w:rsidRPr="00DE1237" w:rsidRDefault="00DE1237" w:rsidP="00A405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tenisa ziemnego z wykonaniem nawierzchni poliuretanowej 24x11=264m</w:t>
      </w:r>
      <w:r w:rsidRPr="00DE1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1237" w:rsidRPr="00DE1237" w:rsidRDefault="00DE1237" w:rsidP="00A405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sala wraz z wyposażeniem w urządzenia sprawnościowe o pow. ok. 1110m</w:t>
      </w:r>
      <w:r w:rsidRPr="00DE1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1237" w:rsidRPr="00DE1237" w:rsidRDefault="00DE1237" w:rsidP="00A405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skocznia w dal wraz ze strefą odbicia 8x3=24m</w:t>
      </w:r>
      <w:r w:rsidRPr="00DE1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1237" w:rsidRDefault="00DE1237" w:rsidP="00A405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są sprzeczne z przedmiarem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robót.W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powyższym wnosimy o stosowną korektę i udostępnienia przedmiaru robót na zakres objęty zamówieniem.</w:t>
      </w:r>
    </w:p>
    <w:p w:rsidR="00A405E0" w:rsidRP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A405E0" w:rsidRPr="00DE1237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jest elementem pomocniczym, wiodącym elementem jest projekt.</w:t>
      </w:r>
    </w:p>
    <w:p w:rsidR="00DE1237" w:rsidRPr="00DE1237" w:rsidRDefault="00DE1237" w:rsidP="00A405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1237" w:rsidRPr="00A405E0" w:rsidRDefault="00A405E0" w:rsidP="00A4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dokumentacja podaje sprzeczne opisy technologii nawierzchni sportowych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ZS2.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podaje dla bieżni, boiska i kortu: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sportowa zew</w:t>
      </w:r>
      <w:r w:rsidR="00A405E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ętrzna dwuwarstwowa poliuretanowa np.</w:t>
      </w:r>
      <w:r w:rsidR="00A4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Saltex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,ELTAN 2S lub inne równoważne ,grubości&gt;14mm</w:t>
      </w:r>
      <w:r w:rsidR="00A4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przekrój podaje:</w:t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noProof/>
        </w:rPr>
        <w:drawing>
          <wp:inline distT="0" distB="0" distL="0" distR="0">
            <wp:extent cx="3333750" cy="895350"/>
            <wp:effectExtent l="0" t="0" r="0" b="0"/>
            <wp:docPr id="3" name="Obraz 3" descr="C:\Users\Zaczkiewicz\AppData\Local\Microsoft\Windows\INetCache\Content.MSO\866078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czkiewicz\AppData\Local\Microsoft\Windows\INetCache\Content.MSO\8660788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STWIOR podaje:</w:t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noProof/>
        </w:rPr>
        <w:drawing>
          <wp:inline distT="0" distB="0" distL="0" distR="0">
            <wp:extent cx="4133850" cy="1495425"/>
            <wp:effectExtent l="0" t="0" r="0" b="9525"/>
            <wp:docPr id="2" name="Obraz 2" descr="C:\Users\Zaczkiewicz\AppData\Local\Microsoft\Windows\INetCache\Content.MSO\DFA17B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czkiewicz\AppData\Local\Microsoft\Windows\INetCache\Content.MSO\DFA17B2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obiektywnie stwierdzić, że ww. części dokumentacji są sprzeczne.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Przedmiar przyjmuje nawierzchnię sportowa typu EPDM 2S, która jest odpowiednia dla boiska i kortu tenisowego jednak na bieżnię powinna być zastosowana nawierzchnia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ponieważ jej wierzchnia warstwa daje lepsze właściwości do biegania.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Przekrój wskazuje na nawierzchnię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jednak z warstwą szpachli, co czyni nawierzchnię nieprzepuszczalną dla wody.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STWIOR przyjmuje nawierzchnię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jednak podaje sprzeczne dane dot. przepuszczalności tj. w pierwszym zdaniu podaje „przepuszczalną dla wody” a dalej „oraz warstwy uszczelniająco-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zamykajacej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na podłożu betonowym (które jest nieprzepuszczalne dla wody) standardowo stosuje się nawierzchnie przepuszczalne dla wody ponieważ lepiszcza użyte do ich wykonania są odporne na generowanie wody i zamarzanie.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są zachowane odpowiednie spadki i równość podłoża woda z opadów spłynie w i po nawierzchni przepuszczalnej dla wody.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nawierzchnie typu NATRYSK wykonuje się w wariancie przepuszczalnym (bez szpachli) i nieprzepuszczalnym (ze szpachlą) to nawierzchnię typu EPDM 2S wykonuje się jedynie jako przepuszczalną dla wody.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podaje również różne dane dot. grubości nawierzchni sportowej.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nawierzchnie sportowe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się w następujących grubościach: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nawierzchnia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(bez względu na wariant przepuszczalny/nieprzepuszczalny) – gr. ok. 13 mm (ok. 11 + ok. 2 mm)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nawierzchnia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EPDM 2S – gr. ok. 14 mm (ok. 7 mm +  ok. 7 mm) lub ok. 16 mm (ok. 8 mm + ok. 8 mm).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wnosimy o:</w:t>
      </w:r>
    </w:p>
    <w:p w:rsidR="00DE1237" w:rsidRPr="00DE1237" w:rsidRDefault="00DE1237" w:rsidP="00A4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jednoznaczne określenie technologii na poszczególne obiekty – czy typu NATRYSK czy typu EPDM 2S - a w przypadku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proszę o wskazanie czy ma być ona w wariancie przepuszczalnym (bez szpachli) i nieprzepuszczalnym (ze szpachlą).- jednoznaczne określenie grubości nawierzchni.</w:t>
      </w:r>
    </w:p>
    <w:p w:rsidR="002C6FFA" w:rsidRDefault="00DE1237" w:rsidP="00F2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405E0" w:rsidRPr="00A40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4F4649" w:rsidRPr="00A405E0" w:rsidRDefault="004F4649" w:rsidP="00F2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poliuretanowa z natryskiem strukturalnym, elastyczna, bez spoinowa, nieprzepuszczalna dla wody, dwuwarstwowa, odporna na kolce, instalowana maszynowo. Łączna grubość nawierzchni 14 mm na podłożu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fibrobetonu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B.25 grub.12 cm zgodnie z normą PN-EN 14877:2014 ( patrz rysunek 13z). Zamawiający dopuszcza wykonanie nawierzchni w jednym kolorze  z wykonaniem linii w kolorach kontrastowych dla poszczególnych dyscyplin sportowych.</w:t>
      </w:r>
    </w:p>
    <w:p w:rsidR="004F4649" w:rsidRDefault="004F4649" w:rsidP="00174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237" w:rsidRPr="0017493E" w:rsidRDefault="0017493E" w:rsidP="00174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174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techniczny ZS2 w części opisu bieżni podaje różne wariantu podbudowy.</w:t>
      </w:r>
    </w:p>
    <w:p w:rsid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podbudowa ma być zgodna z przedmiarem robót.</w:t>
      </w:r>
    </w:p>
    <w:p w:rsidR="0017493E" w:rsidRDefault="0017493E" w:rsidP="00174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17493E" w:rsidRDefault="0017493E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93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7493E" w:rsidRDefault="0017493E" w:rsidP="00174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93E" w:rsidRDefault="0017493E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174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E1237"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1237" w:rsidRPr="0017493E" w:rsidRDefault="00DE1237" w:rsidP="0017493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STWIOR podaje wymagania dotyczące parametrów technicznych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niezgodny ze aktualnymi standardami w branży i obowiązującą normą PN-EN 14877:2014-02:</w:t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noProof/>
        </w:rPr>
        <w:lastRenderedPageBreak/>
        <w:drawing>
          <wp:inline distT="0" distB="0" distL="0" distR="0">
            <wp:extent cx="4733925" cy="2733675"/>
            <wp:effectExtent l="0" t="0" r="9525" b="9525"/>
            <wp:docPr id="1" name="Obraz 1" descr="C:\Users\Zaczkiewicz\AppData\Local\Microsoft\Windows\INetCache\Content.MSO\A6CFE2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czkiewicz\AppData\Local\Microsoft\Windows\INetCache\Content.MSO\A6CFE2C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Podane w projekcie parametry techniczne są niezgodnie z aktualną normą PN-EN 14877 – obowiązująca w Unii Europejskiej norma określająca wymagania dotyczące sportowych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otwartych obiektów sportowych.</w:t>
      </w:r>
      <w:r w:rsidR="00174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przedstawiamy wymagania wg aktualnej normy PN-EN 14877:2014-02 dla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2949"/>
      </w:tblGrid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wartość wymagana wg normy 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PN-EN 14877:2014-02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Wytrzymałość na rozciąganie,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0,4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podczas zerwania, %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Opór poślizgu, PTV: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sucho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mokro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80÷110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55÷110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(dotyczy tylko nawierzchni przepuszczalnej dla wody)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Przepuszczalność wody, mm/h 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150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Odporność na zużycie (ścieranie aparatem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Tabera</w:t>
            </w:r>
            <w:proofErr w:type="spellEnd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g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4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(dotyczy tylko nawierzchni lekkoatletycznej)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kolce: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spadek wytrzymałości na rozciąganie, %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spadek wydłużenia względnego przy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max</w:t>
            </w:r>
            <w:proofErr w:type="spellEnd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20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20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po przyśpieszonym starzeniu: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wytrzymałość na rozciąganie, N/mm²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wydłużenie względne przy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max</w:t>
            </w:r>
            <w:proofErr w:type="spellEnd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%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amortyzacja, %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na obiekty lekkoatletyczne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na obiekty tenisowe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nawierzchnia na obiekty typu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odporność na kolce: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wytrzymałość na rozciąganie po użyciu kolców,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spadek wytrzymałości po działaniu kolców, %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wydłużenie względne przy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max</w:t>
            </w:r>
            <w:proofErr w:type="spellEnd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działaniu kolców, %</w:t>
            </w:r>
          </w:p>
          <w:p w:rsidR="0017493E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spadek wydłużenia względnego przy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max</w:t>
            </w:r>
            <w:proofErr w:type="spellEnd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działaniu </w:t>
            </w:r>
            <w:r w:rsidR="001749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DE1237" w:rsidRPr="00DE1237" w:rsidRDefault="0017493E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DE1237"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kolców, %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0,4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35÷50 typ SA35÷50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&gt;31 typ SA 31+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35÷44 typ SA35÷44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0,4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20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20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Odporność po sztucznym starzeniu: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odporność na zużycie (ścieranie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Tabera</w:t>
            </w:r>
            <w:proofErr w:type="spellEnd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g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barwy, stopień skali szarej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4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3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Amortyzacja, %: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na obiekty lekkoatletyczne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na obiekty tenisowe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nawierzchnia na obiekty typu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35÷50 typ SA35÷50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&gt;31 typ SA 31+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35÷44 typ SA35÷44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Odkształcenie pionowe, mm: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na obiekty lekkoatletyczne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na obiekty tenisowe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nawierzchnia na obiekty typu </w:t>
            </w:r>
            <w:proofErr w:type="spellStart"/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6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6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3</w:t>
            </w:r>
          </w:p>
        </w:tc>
      </w:tr>
      <w:tr w:rsidR="00DE1237" w:rsidRPr="00DE1237" w:rsidTr="00DE123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się piłki odbitej pionowo: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piłka koszykowa, % 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piłka tenisowa, %</w:t>
            </w:r>
          </w:p>
        </w:tc>
        <w:tc>
          <w:tcPr>
            <w:tcW w:w="0" w:type="auto"/>
            <w:vAlign w:val="center"/>
            <w:hideMark/>
          </w:tcPr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85</w:t>
            </w:r>
          </w:p>
          <w:p w:rsidR="00DE1237" w:rsidRPr="00DE1237" w:rsidRDefault="00DE1237" w:rsidP="0017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85</w:t>
            </w:r>
          </w:p>
        </w:tc>
      </w:tr>
    </w:tbl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dowodzi, że wymagane przez Zamawiającego parametry są niezgodne z aktualną normą PN-EN 14877:2014.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stosuje przy określeniu parametrów standardy nieaktualnej nomenklatury ITB czyli parametry nie występujące w aktualnej normie dla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zamawianego. Projekt przyjmuje starą nomenklaturę ITB, która nie jest kompatybilna z aktualną normą dla tego typu nawierzchni.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aktualnie jedynym dokumentem dopuszczającym do stosowania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UE jest potwierdzenie zgodności z normą PN-EN 14877:2014-02, wydane przez niezależną instytucję do tego upoważnioną.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nie wykonuje się na nawierzchnie sportowe (w tym nawierzchnie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aprobat i rekomendacji technicznych ITB tylko badania na zgodność z norma PN-EN 14877:2014-02, dlatego wymaganie aprobaty lub rekomendacji technicznej ITB jest bezpodstawne. Wynika to z tego, że nawierzchnie sportowe (w tym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były sklasyfikowane jako wyroby budowlane, na które jedynie były wydawane aprobaty lub rekomendacje techniczne ITB.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Jakiś czas temu można było wykonywać rekomendacje techniczne ITB dobrowolnie.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nawet kiedyś jakaś nawierzchnia miała wykonaną aprobatę lub rekomendację techniczną ITB to nie może to być podstawą o określania wymagań.</w:t>
      </w:r>
    </w:p>
    <w:p w:rsidR="0017493E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aktualnie jedynym dokumentem dopuszczającym do stosowania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UE jest potwierdzenie zgodności z normą PN-EN 14877:2014, wydane przez niezależną instytucję do tego upoważnioną.</w:t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Nie stosując się do wytycznych obowiązującej normy Zamawiający stawia się w roli ponad normą ustalając inne wytyczne niż obowiązują w branży, do czego nie ma żadnych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umowcowań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Kuriozalnym jest stan rzeczy kiedy nawierzchnia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zamawianego czyli typu zamawianego czyli typu NATRYSK spełniająca wymagania normy PN-EN 14877:2014 i akceptowana we wszystkich krajach Unii Europejskiej, nie mogłaby być zastosowana w m. Opatów tylko z powodu określenia wymagań przez Zamawiającego niezgodnie z obowiązującą w Unii Europejskiej normą.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 wnosimy o stosowną korektę i dopuszczenie nawierzchni poliuretanowych zamawianego typu (typu NATRYSK) posiadających parametry zgodne z normą PN-EN 14877:2014-02 pod warunkiem posiadania: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Wyniki badań na zgodność z normą PN-EN 14877:2014 (obowiązujące w UE parametry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Wyniki badań na zgodność z normą DIN 18035-6:2014 (bezpieczeństwo ekologiczne – zawartość związków chemicznych)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Wyników badań WWA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Wyniki badań reakcji na ogień wg normy PN-EN 13501-1:2008 z klasą</w:t>
      </w:r>
      <w:r w:rsidRPr="00DE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fl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s1, s2  jako „trudno zapalny”.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Atest higieniczny PZH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Karta techniczna potwierdzona przez producenta</w:t>
      </w:r>
    </w:p>
    <w:p w:rsidR="00DE1237" w:rsidRPr="00DE1237" w:rsidRDefault="00DE1237" w:rsidP="0017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- Autoryzacja producenta nawierzchni poliuretanowej, wystawiona dla wykonawcy na realizowaną inwestycję wraz z potwierdzeniem gwarancji udzielonej przez producenta na tą nawierzchnię.</w:t>
      </w:r>
    </w:p>
    <w:p w:rsidR="00DE1237" w:rsidRPr="00DE1237" w:rsidRDefault="00DE1237" w:rsidP="00DE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Zaznaczamy, że nie chodzi o to aby Zamawiający obniżył jakość zamawianej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o to aby opisał wymagania dotyczące nawierzchni w sposób zgodny z obowiązującą w Unii Europejskiej normą PN-EN 14877:2014. </w:t>
      </w:r>
    </w:p>
    <w:p w:rsidR="00F26235" w:rsidRDefault="00DE1237" w:rsidP="00F26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Wyprzedzając ewentualne stanowisko Zamawiającego, że podane w projekcie wymagania są minimalne informujemy, że takie założenie jest błędne ponieważ wymagania muszą się odnosić do aktualnej normy dla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Zamawiający nie może stawiać się w roli decydenta ponad normą i wprowadzać innych niezgodną z nią wymagań. Zamawiający jak i każdy inny musi stosować się to parametrów określonych przez aktualną normę i nie może nią manipulować i ustalać własnych wymagań w standardzie nie zgodnym z obowiązującą normą. </w:t>
      </w:r>
    </w:p>
    <w:p w:rsidR="0017493E" w:rsidRPr="00F26235" w:rsidRDefault="0017493E" w:rsidP="00F2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17493E" w:rsidRDefault="0017493E" w:rsidP="00F2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Nawierzchnia poliuretanowa z natryskiem strukturalnym, elastyczna, bez</w:t>
      </w:r>
      <w:r w:rsidR="004F4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spoinowa, nieprzepuszczalna dla wody, dwuwarstwowa, odporna na kolce, instalowana maszynowo. Łączna grubość nawierzchni 14 mm</w:t>
      </w:r>
      <w:r w:rsidR="004F4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podłożu a </w:t>
      </w:r>
      <w:proofErr w:type="spellStart"/>
      <w:r w:rsidR="004F4649">
        <w:rPr>
          <w:rFonts w:ascii="Times New Roman" w:eastAsia="Times New Roman" w:hAnsi="Times New Roman" w:cs="Times New Roman"/>
          <w:sz w:val="24"/>
          <w:szCs w:val="24"/>
          <w:lang w:eastAsia="pl-PL"/>
        </w:rPr>
        <w:t>fibrobetonu</w:t>
      </w:r>
      <w:proofErr w:type="spellEnd"/>
      <w:r w:rsidR="004F4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B.25 grub.12 cm zgodnie z normą PN-EN 14877:2014 ( patrz rysunek 13z). Zamawiający dopuszcza wykonanie nawierzchni w jednym kolorze  z wykonaniem linii w kolorach kontrastowych dla poszczególnych dyscyplin sportowych.</w:t>
      </w:r>
    </w:p>
    <w:p w:rsidR="004F4649" w:rsidRPr="0017493E" w:rsidRDefault="004F4649" w:rsidP="004F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237" w:rsidRPr="00DE1237" w:rsidRDefault="00DE1237" w:rsidP="004F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35" w:rsidRDefault="004F4649" w:rsidP="00F2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4F4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</w:p>
    <w:p w:rsidR="00DE1237" w:rsidRPr="00F26235" w:rsidRDefault="00DE1237" w:rsidP="00F2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i STWIOR podaje grubość wierzchniej warstwy nawierzchni sportowej niezgodnie z technologią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NATRYSK: </w:t>
      </w:r>
      <w:r w:rsidRPr="00DE1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2-3 mm.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natrysk o grubości &gt; 2 mm jest niezgodny z przyjętym jedynym wzorcem technologicznym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bez względu na producenta. Informujemy, że jedyny model nawierzchni typu NATRYSK (bez względu na producenta) przewiduje zawsze, że wierzchnia warstwa ma zawsze ok. 2 mm – tak jest przyjęte na całym świecie.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górna warstwa nie może mieć większej grubości niż ok. 2 mm ponieważ składa się mieszaniny systemu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granulatu EPDM fr. 0.5-1.5 mm i wg przyjętej technologii do jej wykonania zużywa się materiał w ilości max do 2 kg/m2 (dwukrotny natrysk), co daje ok. 2 mm grubości warstwy. Wykonanie natrysku o większej grubości niż ok. 2 mm </w:t>
      </w: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spowoduje zalanie dolnej warstwy, czego następstwem będzie zanik przepuszczalności dla wody, który stanowi podstawową funkcję tej nawierzchni.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technologicznych możliwości zwiększania grubości warstwy natrysku przy zachowaniu przepuszczalności dla wody.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wymagając od wykonawcy wykonanie natrysku o grubości &gt;2 mm zmusza go do wykonania robót niezgodnie z technologią.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grubości warstwy natrysku &gt;2 mm może powodować iluzoryczne wrażenie podniesienia trwałości nawierzchni lecz w przypadku tego rodzaju nawierzchni nie jest to możliwe bez negatywnych konsekwencji dla przepuszczalności dla wody.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ostatnim czasie w Polsce pojawiają się projekty z niewłaściwą grubością warstwy natrysku &gt;2 mm – dowodzi to jedynie braku odpowiedniego przygotowania osób odpowiedzialnych za projekty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NATRYSK.</w:t>
      </w:r>
    </w:p>
    <w:p w:rsidR="00DE1237" w:rsidRPr="00DE1237" w:rsidRDefault="00DE1237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wnosimy o niezbędną stosowną korektę grubości wierzchniej (użytkowej)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 na zgodną z technologią tj. ok. 2 mm.</w:t>
      </w:r>
    </w:p>
    <w:p w:rsidR="00F26235" w:rsidRDefault="00DE1237" w:rsidP="00F262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Zaznaczamy, że nie chodzi o to aby Zamawiający obniżył jakość nawierzchni poprzez zmniejszenie grubości wierzchniej warstwy nawierzchni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o to aby opisał przedmiot zamówienia zgodnie ze standardami technologicznymi.</w:t>
      </w:r>
    </w:p>
    <w:p w:rsidR="00F26235" w:rsidRDefault="008817EB" w:rsidP="00F2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8817EB" w:rsidRDefault="008817EB" w:rsidP="00F2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poliuretanowa z natryskiem strukturalnym, elastyczna, bez spoinowa, nieprzepuszczalna dla wody, dwuwarstwowa, odporna na kolce, instalowana maszynowo. Łączna grubość nawierzchni 14 mm na podłożu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fibrobetonu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B.25 grub.12 cm zgodnie z normą PN-EN 14877:2014 ( patrz rysunek 13z). Zamawiający dopuszcza wykonanie nawierzchni w jednym kolorze  z wykonaniem linii w kolorach kontrastowych dla poszczególnych dyscyplin sportowych.</w:t>
      </w:r>
    </w:p>
    <w:p w:rsidR="008817EB" w:rsidRPr="008817EB" w:rsidRDefault="008817EB" w:rsidP="008817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237" w:rsidRPr="008817EB" w:rsidRDefault="00DE1237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8817EB" w:rsidRPr="0088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Pr="0088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</w:p>
    <w:p w:rsidR="00DE1237" w:rsidRDefault="00DE1237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nieuczciwymi praktykami stosowania do wierzchniej warstwy nawierzchni sportowej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granulatów z recyklingu barwionych powierzchniowo, proszę o potwierdzenie, że Zamawiający wymaga wykonania wierzchniej warstwy nawierzchni sportowej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technologią przy użyciu granulatu EPDM z pierwotnej produkcji i nie dopuszcza stosowania barwionych granulatów z recyklingu.</w:t>
      </w:r>
    </w:p>
    <w:p w:rsidR="008817EB" w:rsidRDefault="008817EB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1EF" w:rsidRDefault="008817EB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DE1237" w:rsidRPr="00DE1237" w:rsidRDefault="00DE1237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1237" w:rsidRPr="008817EB" w:rsidRDefault="008817EB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88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</w:p>
    <w:p w:rsidR="00DE1237" w:rsidRDefault="00DE1237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za termin zakończenia robót uznaje się datę pisemnego zgłoszenia wykonawcy Zamawiającemu zakończenia robót.</w:t>
      </w:r>
    </w:p>
    <w:p w:rsidR="00DC21EF" w:rsidRPr="00DC21EF" w:rsidRDefault="00DC21EF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DE1237" w:rsidRDefault="00DC21EF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26235" w:rsidRDefault="00F26235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235" w:rsidRDefault="00F26235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235" w:rsidRDefault="00F26235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237" w:rsidRPr="00DC21EF" w:rsidRDefault="00DC21EF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Pytanie nr </w:t>
      </w:r>
      <w:r w:rsidR="00DE1237" w:rsidRPr="00DC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</w:p>
    <w:p w:rsidR="001D6512" w:rsidRDefault="00DE1237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</w:t>
      </w:r>
      <w:r w:rsidR="00DC21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potwierdzenie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</w:t>
      </w:r>
      <w:r w:rsidR="00DC21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</w:t>
      </w:r>
      <w:r w:rsidR="001D65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cy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udost</w:t>
      </w:r>
      <w:r w:rsidR="001D65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pnił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całą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dokumentację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projektową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techniczną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niezbędną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wykonania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przedmiotu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zamówienia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dokumentacja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ta jest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kompletna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odzwierciedla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stan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faktyczny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zakresie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warunków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realizacji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zamówienia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zaś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brak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jakichkol</w:t>
      </w:r>
      <w:r w:rsidR="001D65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</w:t>
      </w:r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iek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dokumentów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istotnych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oceny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warunków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realizacji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Inwestycji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obciąża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DE12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DE1237" w:rsidRPr="001D6512" w:rsidRDefault="001D6512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1D6512" w:rsidRDefault="001D6512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D6512" w:rsidRPr="00DE1237" w:rsidRDefault="001D6512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237" w:rsidRPr="0051633A" w:rsidRDefault="0051633A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DE1237" w:rsidRPr="00516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</w:p>
    <w:p w:rsidR="00DE1237" w:rsidRPr="00DE1237" w:rsidRDefault="00DE1237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51633A" w:rsidRPr="0051633A" w:rsidRDefault="0051633A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DE1237" w:rsidRDefault="0051633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DE1237" w:rsidRPr="00DE12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6FFA" w:rsidRPr="00DE1237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A20" w:rsidRPr="001E4A20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1E4A20" w:rsidRPr="002C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1E4A20"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Wskazana na rysunku nr 11z kolorystyka nawierzchni </w:t>
      </w:r>
      <w:proofErr w:type="spellStart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niefortunna.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nr 11z przedstawia nawierzchnię boiska w 3 kolorach (zielony, czerwony i niebieski).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kolorystyka nawierzchni </w:t>
      </w:r>
      <w:proofErr w:type="spellStart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wpływ istotny na cenę oferty.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Najtańsza jest nawierzchnia </w:t>
      </w:r>
      <w:proofErr w:type="spellStart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ceglasto-czerwonym – dlatego ten kolor nawierzchni </w:t>
      </w:r>
      <w:proofErr w:type="spellStart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najczęściej stosowany na świecie.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Ok. 10% droższa jest nawierzchnia w kolorze zielonym.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 droższa jest w kolorze żółtym a najdroższe są kolory pomarańczowy, niebieski, fioletowy, szary i beżowy – wynika to z konieczności zastosowania specjalnych lepiszczy UV odpornych stabilizujących kolor.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każde połączenie kolorów powoduje zwiększenie kosztów ponieważ do wykonania wierzchniej warstwy z natrysku każdego koloru trzeba wykonać 2 warstwy natrysku, co oznacza, że przy 3 kolorach będzie aż 6 natrysków. Każdy kolor należy wykonywać osobno po całkowitym związaniu się poprzednio wykonanego.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należy ocenić, że wskazane kolorystyka jest niefortunna ponieważ wprowadza brak przejrzystości na płycie boiska. </w:t>
      </w:r>
    </w:p>
    <w:p w:rsidR="00F26235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wyodrębnia się innym kolorem strefy pomiędzy linia 6 a 9 m dla piłki ręcznej,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wyodrębnia się innym kolorem powierzchni wewnątrz bramek do piłki ręcznej,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przyjęte trumny są niezgodne ze aktualnymi przepisami PZKosz i FIBA (od wielu lat trumny są prostokątne).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zmianę kolorystyki na bardziej czytelną wyróżniającą boisko główne poprze zastosowanie 2 kolorów tj. strefa gry boiska głównego do piłki ręcznej w jednym kolorze a powierzchnia poza tą strefą w drugim kolorze.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zmienia kolorystykę boiska?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2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proszę o określenie kolorystyki nawierzchni bieżni i kortu tenisowego.</w:t>
      </w:r>
    </w:p>
    <w:p w:rsidR="001E4A20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</w:p>
    <w:p w:rsidR="002C6FFA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poliuretanowa z natryskiem strukturalnym, elastyczna, bez spoinowa, nieprzepuszczalna dla wody, dwuwarstwowa, odporna na kolce, instalowana maszynowo. Łączna grubość nawierzchni 14 mm na podłożu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fibrobetonu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B.25 grub.12 cm zgodnie z normą PN-EN 14877:2014 ( patrz rysunek 13z). Zamawiający dopuszcza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nawierzchni w jednym kolorze  z wykonaniem linii w kolorach kontrastowych dla poszczególnych dyscyplin sportowych.</w:t>
      </w:r>
    </w:p>
    <w:p w:rsidR="002C6FFA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FA" w:rsidRPr="002C6FFA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14</w:t>
      </w:r>
    </w:p>
    <w:p w:rsidR="002C6FFA" w:rsidRDefault="002C6FFA" w:rsidP="002C6FFA">
      <w:pPr>
        <w:pStyle w:val="Tekstpodstawowy"/>
        <w:kinsoku w:val="0"/>
        <w:overflowPunct w:val="0"/>
        <w:ind w:left="0"/>
        <w:rPr>
          <w:b w:val="0"/>
          <w:spacing w:val="-1"/>
        </w:rPr>
      </w:pPr>
      <w:r w:rsidRPr="002C6FFA">
        <w:rPr>
          <w:b w:val="0"/>
          <w:spacing w:val="-1"/>
        </w:rPr>
        <w:t>Proszę</w:t>
      </w:r>
      <w:r w:rsidRPr="002C6FFA">
        <w:rPr>
          <w:b w:val="0"/>
          <w:spacing w:val="32"/>
        </w:rPr>
        <w:t xml:space="preserve"> </w:t>
      </w:r>
      <w:r w:rsidRPr="002C6FFA">
        <w:rPr>
          <w:b w:val="0"/>
        </w:rPr>
        <w:t>podać</w:t>
      </w:r>
      <w:r w:rsidRPr="002C6FFA">
        <w:rPr>
          <w:b w:val="0"/>
          <w:spacing w:val="32"/>
        </w:rPr>
        <w:t xml:space="preserve"> </w:t>
      </w:r>
      <w:r w:rsidRPr="002C6FFA">
        <w:rPr>
          <w:b w:val="0"/>
        </w:rPr>
        <w:t>ilość</w:t>
      </w:r>
      <w:r w:rsidRPr="002C6FFA">
        <w:rPr>
          <w:b w:val="0"/>
          <w:spacing w:val="32"/>
        </w:rPr>
        <w:t xml:space="preserve"> </w:t>
      </w:r>
      <w:r w:rsidRPr="002C6FFA">
        <w:rPr>
          <w:b w:val="0"/>
        </w:rPr>
        <w:t>i</w:t>
      </w:r>
      <w:r w:rsidRPr="002C6FFA">
        <w:rPr>
          <w:b w:val="0"/>
          <w:spacing w:val="33"/>
        </w:rPr>
        <w:t xml:space="preserve"> </w:t>
      </w:r>
      <w:r w:rsidRPr="002C6FFA">
        <w:rPr>
          <w:b w:val="0"/>
          <w:spacing w:val="-1"/>
        </w:rPr>
        <w:t>parametry</w:t>
      </w:r>
      <w:r w:rsidRPr="002C6FFA">
        <w:rPr>
          <w:b w:val="0"/>
          <w:spacing w:val="33"/>
        </w:rPr>
        <w:t xml:space="preserve"> </w:t>
      </w:r>
      <w:r w:rsidRPr="002C6FFA">
        <w:rPr>
          <w:b w:val="0"/>
          <w:spacing w:val="-1"/>
        </w:rPr>
        <w:t>kamer</w:t>
      </w:r>
      <w:r w:rsidRPr="002C6FFA">
        <w:rPr>
          <w:b w:val="0"/>
          <w:spacing w:val="32"/>
        </w:rPr>
        <w:t xml:space="preserve"> </w:t>
      </w:r>
      <w:r w:rsidRPr="002C6FFA">
        <w:rPr>
          <w:b w:val="0"/>
        </w:rPr>
        <w:t>oraz</w:t>
      </w:r>
      <w:r w:rsidRPr="002C6FFA">
        <w:rPr>
          <w:b w:val="0"/>
          <w:spacing w:val="32"/>
        </w:rPr>
        <w:t xml:space="preserve"> </w:t>
      </w:r>
      <w:r w:rsidRPr="002C6FFA">
        <w:rPr>
          <w:b w:val="0"/>
          <w:spacing w:val="-1"/>
        </w:rPr>
        <w:t>urządzenia</w:t>
      </w:r>
      <w:r w:rsidRPr="002C6FFA">
        <w:rPr>
          <w:b w:val="0"/>
          <w:spacing w:val="33"/>
        </w:rPr>
        <w:t xml:space="preserve"> </w:t>
      </w:r>
      <w:r w:rsidRPr="002C6FFA">
        <w:rPr>
          <w:b w:val="0"/>
        </w:rPr>
        <w:t>do</w:t>
      </w:r>
      <w:r w:rsidRPr="002C6FFA">
        <w:rPr>
          <w:b w:val="0"/>
          <w:spacing w:val="33"/>
        </w:rPr>
        <w:t xml:space="preserve"> </w:t>
      </w:r>
      <w:r w:rsidRPr="002C6FFA">
        <w:rPr>
          <w:b w:val="0"/>
          <w:spacing w:val="-1"/>
        </w:rPr>
        <w:t>zapisu</w:t>
      </w:r>
      <w:r w:rsidRPr="002C6FFA">
        <w:rPr>
          <w:b w:val="0"/>
          <w:spacing w:val="34"/>
        </w:rPr>
        <w:t xml:space="preserve"> </w:t>
      </w:r>
      <w:r w:rsidRPr="002C6FFA">
        <w:rPr>
          <w:b w:val="0"/>
          <w:spacing w:val="-1"/>
        </w:rPr>
        <w:t>danych</w:t>
      </w:r>
      <w:r w:rsidRPr="002C6FFA">
        <w:rPr>
          <w:b w:val="0"/>
          <w:spacing w:val="34"/>
        </w:rPr>
        <w:t xml:space="preserve"> </w:t>
      </w:r>
      <w:r w:rsidRPr="002C6FFA">
        <w:rPr>
          <w:b w:val="0"/>
          <w:spacing w:val="-1"/>
        </w:rPr>
        <w:t>(obrazu),</w:t>
      </w:r>
      <w:r w:rsidRPr="002C6FFA">
        <w:rPr>
          <w:b w:val="0"/>
          <w:spacing w:val="73"/>
        </w:rPr>
        <w:t xml:space="preserve"> </w:t>
      </w:r>
      <w:r w:rsidRPr="002C6FFA">
        <w:rPr>
          <w:b w:val="0"/>
        </w:rPr>
        <w:t>jak również</w:t>
      </w:r>
      <w:r w:rsidRPr="002C6FFA">
        <w:rPr>
          <w:b w:val="0"/>
          <w:spacing w:val="-2"/>
        </w:rPr>
        <w:t xml:space="preserve"> </w:t>
      </w:r>
      <w:r w:rsidRPr="002C6FFA">
        <w:rPr>
          <w:b w:val="0"/>
          <w:spacing w:val="-1"/>
        </w:rPr>
        <w:t>odległości</w:t>
      </w:r>
      <w:r w:rsidRPr="002C6FFA">
        <w:rPr>
          <w:b w:val="0"/>
          <w:spacing w:val="-2"/>
        </w:rPr>
        <w:t xml:space="preserve"> </w:t>
      </w:r>
      <w:r w:rsidRPr="002C6FFA">
        <w:rPr>
          <w:b w:val="0"/>
        </w:rPr>
        <w:t xml:space="preserve">na jaką </w:t>
      </w:r>
      <w:r w:rsidRPr="002C6FFA">
        <w:rPr>
          <w:b w:val="0"/>
          <w:spacing w:val="-1"/>
        </w:rPr>
        <w:t>należy</w:t>
      </w:r>
      <w:r w:rsidRPr="002C6FFA">
        <w:rPr>
          <w:b w:val="0"/>
          <w:spacing w:val="1"/>
        </w:rPr>
        <w:t xml:space="preserve"> </w:t>
      </w:r>
      <w:r w:rsidRPr="002C6FFA">
        <w:rPr>
          <w:b w:val="0"/>
          <w:spacing w:val="-1"/>
        </w:rPr>
        <w:t>podciągnąć instalacje.</w:t>
      </w:r>
    </w:p>
    <w:p w:rsidR="002C6FFA" w:rsidRDefault="002C6FFA" w:rsidP="002C6FFA">
      <w:pPr>
        <w:pStyle w:val="Tekstpodstawowy"/>
        <w:kinsoku w:val="0"/>
        <w:overflowPunct w:val="0"/>
        <w:ind w:left="0"/>
        <w:rPr>
          <w:spacing w:val="-1"/>
        </w:rPr>
      </w:pPr>
      <w:r w:rsidRPr="002C6FFA">
        <w:rPr>
          <w:spacing w:val="-1"/>
        </w:rPr>
        <w:t>Odp.</w:t>
      </w:r>
    </w:p>
    <w:p w:rsidR="004378D9" w:rsidRDefault="00F26235" w:rsidP="002C6FFA">
      <w:pPr>
        <w:pStyle w:val="Tekstpodstawowy"/>
        <w:kinsoku w:val="0"/>
        <w:overflowPunct w:val="0"/>
        <w:ind w:left="0"/>
        <w:jc w:val="both"/>
        <w:rPr>
          <w:b w:val="0"/>
          <w:color w:val="000000"/>
        </w:rPr>
      </w:pPr>
      <w:r w:rsidRPr="00F26235">
        <w:rPr>
          <w:b w:val="0"/>
          <w:color w:val="000000"/>
        </w:rPr>
        <w:t>Powyższy zakres nie jest objęty  zamówieniem</w:t>
      </w:r>
    </w:p>
    <w:p w:rsidR="00F26235" w:rsidRPr="00F26235" w:rsidRDefault="00F26235" w:rsidP="002C6FFA">
      <w:pPr>
        <w:pStyle w:val="Tekstpodstawowy"/>
        <w:kinsoku w:val="0"/>
        <w:overflowPunct w:val="0"/>
        <w:ind w:left="0"/>
        <w:jc w:val="both"/>
        <w:rPr>
          <w:b w:val="0"/>
          <w:spacing w:val="-1"/>
        </w:rPr>
      </w:pPr>
    </w:p>
    <w:p w:rsidR="002C6FFA" w:rsidRPr="002C6FFA" w:rsidRDefault="002C6FFA" w:rsidP="002C6FFA">
      <w:pPr>
        <w:pStyle w:val="Tekstpodstawowy"/>
        <w:kinsoku w:val="0"/>
        <w:overflowPunct w:val="0"/>
        <w:ind w:left="0"/>
        <w:jc w:val="both"/>
        <w:rPr>
          <w:b w:val="0"/>
          <w:bCs w:val="0"/>
        </w:rPr>
      </w:pPr>
      <w:r w:rsidRPr="002C6FFA">
        <w:rPr>
          <w:spacing w:val="-1"/>
        </w:rPr>
        <w:t xml:space="preserve">Pytanie </w:t>
      </w:r>
      <w:r w:rsidR="004378D9">
        <w:t>nr 15</w:t>
      </w:r>
    </w:p>
    <w:p w:rsidR="002C6FFA" w:rsidRPr="002C6FFA" w:rsidRDefault="002C6FFA" w:rsidP="004378D9">
      <w:pPr>
        <w:pStyle w:val="Tekstpodstawowy"/>
        <w:kinsoku w:val="0"/>
        <w:overflowPunct w:val="0"/>
        <w:ind w:left="0"/>
        <w:rPr>
          <w:b w:val="0"/>
          <w:spacing w:val="-1"/>
        </w:rPr>
      </w:pPr>
      <w:r w:rsidRPr="002C6FFA">
        <w:rPr>
          <w:b w:val="0"/>
          <w:spacing w:val="-1"/>
        </w:rPr>
        <w:t>Proszę</w:t>
      </w:r>
      <w:r w:rsidRPr="002C6FFA">
        <w:rPr>
          <w:b w:val="0"/>
          <w:spacing w:val="6"/>
        </w:rPr>
        <w:t xml:space="preserve"> </w:t>
      </w:r>
      <w:r w:rsidRPr="002C6FFA">
        <w:rPr>
          <w:b w:val="0"/>
        </w:rPr>
        <w:t>podać</w:t>
      </w:r>
      <w:r w:rsidRPr="002C6FFA">
        <w:rPr>
          <w:b w:val="0"/>
          <w:spacing w:val="6"/>
        </w:rPr>
        <w:t xml:space="preserve"> </w:t>
      </w:r>
      <w:r w:rsidRPr="002C6FFA">
        <w:rPr>
          <w:b w:val="0"/>
          <w:spacing w:val="-1"/>
        </w:rPr>
        <w:t>wymiary</w:t>
      </w:r>
      <w:r w:rsidRPr="002C6FFA">
        <w:rPr>
          <w:b w:val="0"/>
          <w:spacing w:val="11"/>
        </w:rPr>
        <w:t xml:space="preserve"> </w:t>
      </w:r>
      <w:r w:rsidRPr="002C6FFA">
        <w:rPr>
          <w:b w:val="0"/>
          <w:spacing w:val="-1"/>
        </w:rPr>
        <w:t>zadaszenia</w:t>
      </w:r>
      <w:r w:rsidRPr="002C6FFA">
        <w:rPr>
          <w:b w:val="0"/>
          <w:spacing w:val="8"/>
        </w:rPr>
        <w:t xml:space="preserve"> </w:t>
      </w:r>
      <w:r w:rsidRPr="002C6FFA">
        <w:rPr>
          <w:b w:val="0"/>
        </w:rPr>
        <w:t>do</w:t>
      </w:r>
      <w:r w:rsidRPr="002C6FFA">
        <w:rPr>
          <w:b w:val="0"/>
          <w:spacing w:val="6"/>
        </w:rPr>
        <w:t xml:space="preserve"> </w:t>
      </w:r>
      <w:r w:rsidRPr="002C6FFA">
        <w:rPr>
          <w:b w:val="0"/>
        </w:rPr>
        <w:t>prowadzenia</w:t>
      </w:r>
      <w:r w:rsidRPr="002C6FFA">
        <w:rPr>
          <w:b w:val="0"/>
          <w:spacing w:val="7"/>
        </w:rPr>
        <w:t xml:space="preserve"> </w:t>
      </w:r>
      <w:r w:rsidRPr="002C6FFA">
        <w:rPr>
          <w:b w:val="0"/>
          <w:spacing w:val="-1"/>
        </w:rPr>
        <w:t>zajęć,</w:t>
      </w:r>
      <w:r w:rsidRPr="002C6FFA">
        <w:rPr>
          <w:b w:val="0"/>
          <w:spacing w:val="6"/>
        </w:rPr>
        <w:t xml:space="preserve"> </w:t>
      </w:r>
      <w:r w:rsidRPr="002C6FFA">
        <w:rPr>
          <w:b w:val="0"/>
        </w:rPr>
        <w:t>szczegółowy</w:t>
      </w:r>
      <w:r w:rsidRPr="002C6FFA">
        <w:rPr>
          <w:b w:val="0"/>
          <w:spacing w:val="6"/>
        </w:rPr>
        <w:t xml:space="preserve"> </w:t>
      </w:r>
      <w:r w:rsidRPr="002C6FFA">
        <w:rPr>
          <w:b w:val="0"/>
        </w:rPr>
        <w:t>opis</w:t>
      </w:r>
      <w:r w:rsidRPr="002C6FFA">
        <w:rPr>
          <w:b w:val="0"/>
          <w:spacing w:val="5"/>
        </w:rPr>
        <w:t xml:space="preserve"> </w:t>
      </w:r>
      <w:r w:rsidRPr="002C6FFA">
        <w:rPr>
          <w:b w:val="0"/>
          <w:spacing w:val="-1"/>
        </w:rPr>
        <w:t>wykonania</w:t>
      </w:r>
      <w:r w:rsidRPr="002C6FFA">
        <w:rPr>
          <w:b w:val="0"/>
          <w:spacing w:val="59"/>
        </w:rPr>
        <w:t xml:space="preserve"> </w:t>
      </w:r>
      <w:r w:rsidRPr="002C6FFA">
        <w:rPr>
          <w:b w:val="0"/>
          <w:spacing w:val="-1"/>
        </w:rPr>
        <w:t>oraz rodzaj</w:t>
      </w:r>
      <w:r w:rsidRPr="002C6FFA">
        <w:rPr>
          <w:b w:val="0"/>
        </w:rPr>
        <w:t xml:space="preserve"> </w:t>
      </w:r>
      <w:r w:rsidRPr="002C6FFA">
        <w:rPr>
          <w:b w:val="0"/>
          <w:spacing w:val="-1"/>
        </w:rPr>
        <w:t>konstrukcji.</w:t>
      </w:r>
    </w:p>
    <w:p w:rsidR="002C6FFA" w:rsidRPr="004378D9" w:rsidRDefault="004378D9" w:rsidP="004378D9">
      <w:pPr>
        <w:pStyle w:val="Tekstpodstawowy"/>
        <w:kinsoku w:val="0"/>
        <w:overflowPunct w:val="0"/>
        <w:ind w:left="0"/>
        <w:rPr>
          <w:bCs w:val="0"/>
        </w:rPr>
      </w:pPr>
      <w:r w:rsidRPr="004378D9">
        <w:rPr>
          <w:bCs w:val="0"/>
        </w:rPr>
        <w:t>Odp</w:t>
      </w:r>
      <w:r>
        <w:rPr>
          <w:bCs w:val="0"/>
        </w:rPr>
        <w:t>.</w:t>
      </w:r>
    </w:p>
    <w:p w:rsidR="004378D9" w:rsidRDefault="004378D9" w:rsidP="004378D9">
      <w:pPr>
        <w:pStyle w:val="NormalnyWeb"/>
        <w:spacing w:before="0" w:beforeAutospacing="0" w:after="0" w:afterAutospacing="0"/>
        <w:rPr>
          <w:color w:val="000000"/>
        </w:rPr>
      </w:pPr>
      <w:r w:rsidRPr="004378D9">
        <w:rPr>
          <w:color w:val="000000"/>
        </w:rPr>
        <w:t xml:space="preserve">ZADASZONE MIEJSCE PROWADZENIA ZAJĘĆ </w:t>
      </w:r>
    </w:p>
    <w:p w:rsidR="004378D9" w:rsidRPr="004378D9" w:rsidRDefault="004378D9" w:rsidP="004378D9">
      <w:pPr>
        <w:pStyle w:val="NormalnyWeb"/>
        <w:spacing w:before="0" w:beforeAutospacing="0" w:after="0" w:afterAutospacing="0"/>
        <w:rPr>
          <w:color w:val="000000"/>
        </w:rPr>
      </w:pPr>
      <w:r w:rsidRPr="004378D9">
        <w:t>(PRZEKĄTNA ALTANY 5,5M</w:t>
      </w:r>
      <w:r>
        <w:t>)</w:t>
      </w:r>
    </w:p>
    <w:p w:rsidR="004378D9" w:rsidRPr="004378D9" w:rsidRDefault="004378D9" w:rsidP="004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D9">
        <w:rPr>
          <w:rFonts w:ascii="Tahoma" w:hAnsi="Tahoma" w:cs="Tahoma"/>
          <w:sz w:val="24"/>
          <w:szCs w:val="24"/>
        </w:rPr>
        <w:t>﻿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378D9" w:rsidRPr="004378D9" w:rsidTr="00713113">
        <w:trPr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6281"/>
            </w:tblGrid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DANE TECHNICZNE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ALTANA OŚMIOKĄTNA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Konstrukcja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Drewno sosnowe + świerk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Malowanie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Impregnat </w:t>
                  </w:r>
                  <w:proofErr w:type="spellStart"/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Drewnochron</w:t>
                  </w:r>
                  <w:proofErr w:type="spellEnd"/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kolor do wyboru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Pokrycie dachowe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Gont bitumiczny plaster miodu / kolor do wyboru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Kąt nachylenia dachu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stp.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Słupy nośne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12/12 cm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Wysokość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Słupy nośne </w:t>
                  </w:r>
                  <w:smartTag w:uri="urn:schemas-microsoft-com:office:smarttags" w:element="metricconverter">
                    <w:smartTagPr>
                      <w:attr w:name="ProductID" w:val="200 cm"/>
                    </w:smartTagPr>
                    <w:r w:rsidRPr="004378D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 cm</w:t>
                    </w:r>
                  </w:smartTag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w kalenicy </w:t>
                  </w:r>
                  <w:smartTag w:uri="urn:schemas-microsoft-com:office:smarttags" w:element="metricconverter">
                    <w:smartTagPr>
                      <w:attr w:name="ProductID" w:val="290 cm"/>
                    </w:smartTagPr>
                    <w:r w:rsidRPr="004378D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290 cm</w:t>
                    </w:r>
                  </w:smartTag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Legar podłogowy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5/5 cm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Krokwie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10/5 cm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Grubość desek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5 mm"/>
                    </w:smartTagPr>
                    <w:r w:rsidRPr="004378D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25 mm</w:t>
                    </w:r>
                  </w:smartTag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przed / struganie suszenie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Podłoga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DESKI SOSNOWE </w:t>
                  </w:r>
                </w:p>
              </w:tc>
            </w:tr>
            <w:tr w:rsidR="004378D9" w:rsidRPr="004378D9" w:rsidTr="00713113">
              <w:trPr>
                <w:tblCellSpacing w:w="15" w:type="dxa"/>
              </w:trPr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Meble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8D9" w:rsidRPr="004378D9" w:rsidRDefault="004378D9" w:rsidP="004378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ławek wolnostojących + stół okrągły </w:t>
                  </w:r>
                </w:p>
              </w:tc>
            </w:tr>
          </w:tbl>
          <w:p w:rsidR="004378D9" w:rsidRPr="004378D9" w:rsidRDefault="004378D9" w:rsidP="0043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8D9" w:rsidRPr="002C6FFA" w:rsidRDefault="004378D9" w:rsidP="002C6FFA">
      <w:pPr>
        <w:pStyle w:val="Tekstpodstawowy"/>
        <w:kinsoku w:val="0"/>
        <w:overflowPunct w:val="0"/>
        <w:ind w:left="0"/>
        <w:rPr>
          <w:b w:val="0"/>
          <w:bCs w:val="0"/>
        </w:rPr>
      </w:pPr>
    </w:p>
    <w:p w:rsidR="00F26235" w:rsidRDefault="002C6FFA" w:rsidP="00F26235">
      <w:pPr>
        <w:pStyle w:val="Tekstpodstawowy"/>
        <w:kinsoku w:val="0"/>
        <w:overflowPunct w:val="0"/>
        <w:ind w:left="0"/>
        <w:jc w:val="both"/>
      </w:pPr>
      <w:r w:rsidRPr="002C6FFA">
        <w:rPr>
          <w:spacing w:val="-1"/>
        </w:rPr>
        <w:t xml:space="preserve">Pytanie </w:t>
      </w:r>
      <w:r w:rsidRPr="002C6FFA">
        <w:t>3</w:t>
      </w:r>
    </w:p>
    <w:p w:rsidR="00F26235" w:rsidRDefault="002C6FFA" w:rsidP="00F26235">
      <w:pPr>
        <w:pStyle w:val="Tekstpodstawowy"/>
        <w:kinsoku w:val="0"/>
        <w:overflowPunct w:val="0"/>
        <w:ind w:left="0"/>
        <w:jc w:val="both"/>
        <w:rPr>
          <w:b w:val="0"/>
        </w:rPr>
      </w:pPr>
      <w:r w:rsidRPr="00F26235">
        <w:rPr>
          <w:b w:val="0"/>
          <w:spacing w:val="-1"/>
        </w:rPr>
        <w:t xml:space="preserve">W projekcie przewidziano </w:t>
      </w:r>
      <w:r w:rsidRPr="00F26235">
        <w:rPr>
          <w:b w:val="0"/>
        </w:rPr>
        <w:t>wykonanie pokrycia nad małą salą gimnastyczną. Brak pozycji w przedmiarze. Proszę o wyjaśnienia</w:t>
      </w:r>
    </w:p>
    <w:p w:rsidR="004378D9" w:rsidRPr="00F26235" w:rsidRDefault="004378D9" w:rsidP="00F26235">
      <w:pPr>
        <w:pStyle w:val="Tekstpodstawowy"/>
        <w:kinsoku w:val="0"/>
        <w:overflowPunct w:val="0"/>
        <w:ind w:left="0"/>
        <w:jc w:val="both"/>
        <w:rPr>
          <w:b w:val="0"/>
          <w:bCs w:val="0"/>
        </w:rPr>
      </w:pPr>
      <w:r w:rsidRPr="00F26235">
        <w:t>Odp</w:t>
      </w:r>
      <w:r w:rsidRPr="004378D9">
        <w:rPr>
          <w:b w:val="0"/>
        </w:rPr>
        <w:t>.</w:t>
      </w:r>
    </w:p>
    <w:p w:rsidR="004378D9" w:rsidRPr="004378D9" w:rsidRDefault="004378D9" w:rsidP="002C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Powyższy z</w:t>
      </w:r>
      <w:r w:rsidRPr="004378D9">
        <w:rPr>
          <w:rFonts w:ascii="Times New Roman" w:hAnsi="Times New Roman" w:cs="Times New Roman"/>
        </w:rPr>
        <w:t>akres nie jest objęty zamówieniem</w:t>
      </w:r>
    </w:p>
    <w:p w:rsidR="002C6FFA" w:rsidRPr="002C6FFA" w:rsidRDefault="002C6FFA" w:rsidP="002C6FFA">
      <w:pPr>
        <w:rPr>
          <w:rFonts w:ascii="Times New Roman" w:hAnsi="Times New Roman" w:cs="Times New Roman"/>
          <w:color w:val="000000"/>
        </w:rPr>
      </w:pPr>
    </w:p>
    <w:p w:rsidR="002C6FFA" w:rsidRPr="002C6FFA" w:rsidRDefault="002C6FFA" w:rsidP="002C6FFA">
      <w:pPr>
        <w:rPr>
          <w:rFonts w:ascii="Times New Roman" w:hAnsi="Times New Roman" w:cs="Times New Roman"/>
        </w:rPr>
      </w:pPr>
    </w:p>
    <w:p w:rsidR="001E4A20" w:rsidRPr="001E4A20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A20" w:rsidRPr="001E4A20" w:rsidRDefault="001E4A20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A20" w:rsidRPr="001E4A20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1E4A20" w:rsidRPr="001E4A20" w:rsidRDefault="002C6FFA" w:rsidP="002C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103FDB" w:rsidRDefault="00F26235" w:rsidP="002C6FFA">
      <w:pPr>
        <w:spacing w:after="0" w:line="240" w:lineRule="auto"/>
      </w:pPr>
      <w:r>
        <w:t>Oprac. G.Mizera</w:t>
      </w:r>
      <w:bookmarkStart w:id="0" w:name="_GoBack"/>
      <w:bookmarkEnd w:id="0"/>
    </w:p>
    <w:sectPr w:rsidR="0010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D1A"/>
    <w:multiLevelType w:val="multilevel"/>
    <w:tmpl w:val="945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5672A"/>
    <w:multiLevelType w:val="multilevel"/>
    <w:tmpl w:val="2552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E5C5D"/>
    <w:multiLevelType w:val="multilevel"/>
    <w:tmpl w:val="321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7"/>
    <w:rsid w:val="000E2044"/>
    <w:rsid w:val="00103FDB"/>
    <w:rsid w:val="0017493E"/>
    <w:rsid w:val="001D6512"/>
    <w:rsid w:val="001E4A20"/>
    <w:rsid w:val="002C6FFA"/>
    <w:rsid w:val="00344235"/>
    <w:rsid w:val="004378D9"/>
    <w:rsid w:val="004F4649"/>
    <w:rsid w:val="0051633A"/>
    <w:rsid w:val="008817EB"/>
    <w:rsid w:val="00A27FA5"/>
    <w:rsid w:val="00A405E0"/>
    <w:rsid w:val="00DC21EF"/>
    <w:rsid w:val="00DE1237"/>
    <w:rsid w:val="00F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2D992"/>
  <w15:chartTrackingRefBased/>
  <w15:docId w15:val="{46D237B5-304B-405C-8899-79A2049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2C6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23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C6FFA"/>
    <w:pPr>
      <w:widowControl w:val="0"/>
      <w:autoSpaceDE w:val="0"/>
      <w:autoSpaceDN w:val="0"/>
      <w:adjustRightInd w:val="0"/>
      <w:spacing w:after="0" w:line="240" w:lineRule="auto"/>
      <w:ind w:left="85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6F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6F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istParagraph">
    <w:name w:val="List Paragraph"/>
    <w:basedOn w:val="Normalny"/>
    <w:rsid w:val="002C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3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8DCB-F4C4-4CF3-91E3-7E7D7BEB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5</cp:revision>
  <dcterms:created xsi:type="dcterms:W3CDTF">2019-02-04T07:47:00Z</dcterms:created>
  <dcterms:modified xsi:type="dcterms:W3CDTF">2019-02-04T09:55:00Z</dcterms:modified>
</cp:coreProperties>
</file>